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08" w:rsidRDefault="00AA030E">
      <w:pPr>
        <w:pBdr>
          <w:top w:val="nil"/>
          <w:left w:val="nil"/>
          <w:bottom w:val="nil"/>
          <w:right w:val="nil"/>
          <w:between w:val="nil"/>
        </w:pBdr>
        <w:spacing w:after="80"/>
        <w:ind w:left="6480"/>
        <w:jc w:val="both"/>
        <w:rPr>
          <w:sz w:val="22"/>
          <w:szCs w:val="22"/>
        </w:rPr>
      </w:pPr>
      <w:r>
        <w:rPr>
          <w:sz w:val="22"/>
          <w:szCs w:val="22"/>
        </w:rPr>
        <w:t>PATVIRTINTA</w:t>
      </w:r>
    </w:p>
    <w:p w:rsidR="005B6508" w:rsidRDefault="00551454">
      <w:pPr>
        <w:pBdr>
          <w:top w:val="nil"/>
          <w:left w:val="nil"/>
          <w:bottom w:val="nil"/>
          <w:right w:val="nil"/>
          <w:between w:val="nil"/>
        </w:pBdr>
        <w:spacing w:after="80"/>
        <w:ind w:left="6480"/>
        <w:jc w:val="both"/>
        <w:rPr>
          <w:sz w:val="22"/>
          <w:szCs w:val="22"/>
        </w:rPr>
      </w:pPr>
      <w:r>
        <w:rPr>
          <w:sz w:val="22"/>
          <w:szCs w:val="22"/>
        </w:rPr>
        <w:t>Vilniaus r. Mickūnų vaikų lopšelio-darželio</w:t>
      </w:r>
      <w:r w:rsidR="00AA030E">
        <w:rPr>
          <w:sz w:val="22"/>
          <w:szCs w:val="22"/>
        </w:rPr>
        <w:t xml:space="preserve"> direktoriaus </w:t>
      </w:r>
      <w:r>
        <w:rPr>
          <w:sz w:val="22"/>
          <w:szCs w:val="22"/>
        </w:rPr>
        <w:t>2024 m. sausio</w:t>
      </w:r>
      <w:r w:rsidR="00AA030E">
        <w:rPr>
          <w:sz w:val="22"/>
          <w:szCs w:val="22"/>
        </w:rPr>
        <w:t xml:space="preserve"> </w:t>
      </w:r>
      <w:r>
        <w:rPr>
          <w:sz w:val="22"/>
          <w:szCs w:val="22"/>
        </w:rPr>
        <w:t xml:space="preserve">2 </w:t>
      </w:r>
      <w:r w:rsidR="00AA030E">
        <w:rPr>
          <w:sz w:val="22"/>
          <w:szCs w:val="22"/>
        </w:rPr>
        <w:t xml:space="preserve">įsakymu Nr. </w:t>
      </w:r>
      <w:r>
        <w:rPr>
          <w:sz w:val="22"/>
          <w:szCs w:val="22"/>
        </w:rPr>
        <w:t>V-1.1</w:t>
      </w:r>
    </w:p>
    <w:p w:rsidR="00551454" w:rsidRDefault="00551454">
      <w:pPr>
        <w:pBdr>
          <w:top w:val="nil"/>
          <w:left w:val="nil"/>
          <w:bottom w:val="nil"/>
          <w:right w:val="nil"/>
          <w:between w:val="nil"/>
        </w:pBdr>
        <w:spacing w:after="80"/>
        <w:ind w:left="6480"/>
        <w:jc w:val="both"/>
        <w:rPr>
          <w:sz w:val="22"/>
          <w:szCs w:val="22"/>
        </w:rPr>
      </w:pPr>
    </w:p>
    <w:p w:rsidR="005B6508" w:rsidRPr="00551454" w:rsidRDefault="00551454">
      <w:pPr>
        <w:pBdr>
          <w:top w:val="nil"/>
          <w:left w:val="nil"/>
          <w:bottom w:val="nil"/>
          <w:right w:val="nil"/>
          <w:between w:val="nil"/>
        </w:pBdr>
        <w:spacing w:after="80"/>
        <w:jc w:val="center"/>
        <w:rPr>
          <w:b/>
          <w:color w:val="00B0F0"/>
          <w:sz w:val="22"/>
          <w:szCs w:val="22"/>
        </w:rPr>
      </w:pPr>
      <w:r w:rsidRPr="00551454">
        <w:rPr>
          <w:b/>
          <w:color w:val="000000"/>
          <w:sz w:val="22"/>
          <w:szCs w:val="22"/>
        </w:rPr>
        <w:t>VILNIAUS R. MICKŪNŲ VAIKŲ LOPŠELIO-DARŽELIO</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DARBO APMOKĖJIMO SISTEMOS APRAŠAS</w:t>
      </w:r>
    </w:p>
    <w:p w:rsidR="005B6508" w:rsidRDefault="005B6508">
      <w:pPr>
        <w:pBdr>
          <w:top w:val="nil"/>
          <w:left w:val="nil"/>
          <w:bottom w:val="nil"/>
          <w:right w:val="nil"/>
          <w:between w:val="nil"/>
        </w:pBdr>
        <w:spacing w:after="80"/>
        <w:jc w:val="center"/>
        <w:rPr>
          <w:color w:val="000000"/>
          <w:sz w:val="22"/>
          <w:szCs w:val="22"/>
        </w:rPr>
      </w:pPr>
    </w:p>
    <w:p w:rsidR="005B6508" w:rsidRDefault="00AA030E">
      <w:pPr>
        <w:numPr>
          <w:ilvl w:val="0"/>
          <w:numId w:val="1"/>
        </w:numPr>
        <w:pBdr>
          <w:top w:val="nil"/>
          <w:left w:val="nil"/>
          <w:bottom w:val="nil"/>
          <w:right w:val="nil"/>
          <w:between w:val="nil"/>
        </w:pBdr>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BENDROSIOS NUOSTATOS</w:t>
      </w:r>
    </w:p>
    <w:p w:rsidR="005B6508" w:rsidRDefault="00551454">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sidRPr="00551454">
        <w:rPr>
          <w:sz w:val="22"/>
          <w:szCs w:val="22"/>
        </w:rPr>
        <w:t>Vilniaus r. Mickūnų vaikų lopšelio-darželio</w:t>
      </w:r>
      <w:r w:rsidR="00AA030E" w:rsidRPr="00551454">
        <w:rPr>
          <w:b/>
          <w:sz w:val="22"/>
          <w:szCs w:val="22"/>
        </w:rPr>
        <w:t xml:space="preserve"> </w:t>
      </w:r>
      <w:r w:rsidR="00AA030E">
        <w:rPr>
          <w:color w:val="000000"/>
          <w:sz w:val="22"/>
          <w:szCs w:val="22"/>
        </w:rPr>
        <w:t xml:space="preserve">(toliau – </w:t>
      </w:r>
      <w:r w:rsidR="00AA030E">
        <w:rPr>
          <w:b/>
          <w:color w:val="000000"/>
          <w:sz w:val="22"/>
          <w:szCs w:val="22"/>
        </w:rPr>
        <w:t>Įstaiga</w:t>
      </w:r>
      <w:r w:rsidR="00AA030E">
        <w:rPr>
          <w:color w:val="000000"/>
          <w:sz w:val="22"/>
          <w:szCs w:val="22"/>
        </w:rPr>
        <w:t xml:space="preserve">) darbuotojų darbo apmokėjimo sistemos aprašas (toliau – </w:t>
      </w:r>
      <w:r w:rsidR="00AA030E">
        <w:rPr>
          <w:b/>
          <w:color w:val="000000"/>
          <w:sz w:val="22"/>
          <w:szCs w:val="22"/>
        </w:rPr>
        <w:t>Aprašas</w:t>
      </w:r>
      <w:r w:rsidR="00AA030E">
        <w:rPr>
          <w:color w:val="000000"/>
          <w:sz w:val="22"/>
          <w:szCs w:val="22"/>
        </w:rPr>
        <w:t>) detalizuoja pareiginės algos nustatymo kriterijus, pareiginės algos koeficientų intervalus, mokamas priemokas, priemokų dydžius ir jų skyrimo tvarką, mokėjimo už darbą poilsio ir švenčių dienomis ir viršvalandinį darbą tvarką, taip pat materialinių pašalpų skyrimą.</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0" w:name="_heading=h.gjdgxs" w:colFirst="0" w:colLast="0"/>
      <w:bookmarkEnd w:id="0"/>
      <w:r>
        <w:rPr>
          <w:color w:val="000000"/>
          <w:sz w:val="22"/>
          <w:szCs w:val="22"/>
        </w:rPr>
        <w:t xml:space="preserve">Šio Aprašo nuostatos parengtos vadovaujantis Lietuvos Respublikos darbo kodekso (toliau – </w:t>
      </w:r>
      <w:r>
        <w:rPr>
          <w:b/>
          <w:color w:val="000000"/>
          <w:sz w:val="22"/>
          <w:szCs w:val="22"/>
        </w:rPr>
        <w:t>Darbo kodeksas</w:t>
      </w:r>
      <w:r>
        <w:rPr>
          <w:color w:val="000000"/>
          <w:sz w:val="22"/>
          <w:szCs w:val="22"/>
        </w:rPr>
        <w:t xml:space="preserve">) nuostatomis ir jas įgyvendinančiais teisės aktais, Lietuvos Respublikos biudžetinių įstaigų darbuotojų darbo apmokėjimo ir komisijų narių atlygio už darbą įstatymu (toliau – </w:t>
      </w:r>
      <w:r>
        <w:rPr>
          <w:b/>
          <w:color w:val="000000"/>
          <w:sz w:val="22"/>
          <w:szCs w:val="22"/>
        </w:rPr>
        <w:t>DAĮ</w:t>
      </w:r>
      <w:r>
        <w:rPr>
          <w:color w:val="000000"/>
          <w:sz w:val="22"/>
          <w:szCs w:val="22"/>
        </w:rPr>
        <w:t>), Darbo apmokėjimo sistemos nustatymo rekomendacijomis, patvirtintomis Lietuvos Respublikos Vyriausybės 2023 m. lapkričio 8 d. nutarimu Nr. 857 „Dėl Darbo apmokėjimo sistemos nustatymo rekomendacijų patvirtinimo“.</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Apraše vartojamos sąvokos atitinka Darbo kodekso, DAĮ ir Lietuvos Respublikos švietimo įstatyme apibrėžtas sąvokas.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Aprašas nustatomas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kilmės, kalbos,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spacing w:after="80"/>
        <w:ind w:firstLine="720"/>
        <w:jc w:val="center"/>
        <w:rPr>
          <w:color w:val="000000"/>
          <w:sz w:val="22"/>
          <w:szCs w:val="22"/>
        </w:rPr>
      </w:pPr>
      <w:r>
        <w:rPr>
          <w:b/>
          <w:color w:val="000000"/>
          <w:sz w:val="22"/>
          <w:szCs w:val="22"/>
        </w:rPr>
        <w:t>DARBO UŽMOKESČIO SUDEDAMOSIOS DALYS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Darbuotojų darbo užmokestį sudaro:</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pareiginė alga;</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priemokos;</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piniginė išmoka (Apraše numatytais atvejais);</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mokėjimas už darbą poilsio ir švenčių dienomis, nakties ir viršvalandinį darbą, darbą, kai yra nukrypimų nuo normalių darbo sąlygų, budėjimą;</w:t>
      </w:r>
    </w:p>
    <w:p w:rsidR="005B6508" w:rsidRDefault="00AA030E">
      <w:pPr>
        <w:widowControl w:val="0"/>
        <w:pBdr>
          <w:top w:val="nil"/>
          <w:left w:val="nil"/>
          <w:bottom w:val="nil"/>
          <w:right w:val="nil"/>
          <w:between w:val="nil"/>
        </w:pBdr>
        <w:tabs>
          <w:tab w:val="left" w:pos="1526"/>
        </w:tabs>
        <w:spacing w:after="80"/>
        <w:ind w:firstLine="851"/>
        <w:jc w:val="both"/>
        <w:rPr>
          <w:color w:val="000000"/>
          <w:sz w:val="22"/>
          <w:szCs w:val="22"/>
        </w:rPr>
      </w:pPr>
      <w:r>
        <w:rPr>
          <w:color w:val="000000"/>
          <w:sz w:val="22"/>
          <w:szCs w:val="22"/>
        </w:rPr>
        <w:t>6.6.    kintamoji dalis (tik Apraše numatytais atvejais).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 w:name="_heading=h.30j0zll" w:colFirst="0" w:colLast="0"/>
      <w:bookmarkEnd w:id="1"/>
      <w:r>
        <w:rPr>
          <w:color w:val="000000"/>
          <w:sz w:val="22"/>
          <w:szCs w:val="22"/>
        </w:rPr>
        <w:t>Pareiginės algos koeficiento vienetas yra Lietuvos Respublikos pareiginės algos (atlyginimo) bazinio dydžio nustatymo ir asignavimų darbo užmokesčiui perskaičiavimo įstatyme nustatytas pareiginės algos (atlyginimo) bazinis dydis (toliau – Atlyginimo bazinis dydis). Įstaigos darbuotojo, išskyrus darbininkus, pareiginė alga apskaičiuojama pareiginės algos koeficientą dauginant iš Atlyginimo bazinio dydžio.</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Pareiginės algos koeficientas yra susietas ir nustatomas visai darbo laiko normai, taikomai atitinkamai pareigybei pagal įstatymus (pilnam etatui). Darbuotojui dirbant ne viso ar padidinto darbo laiko sąlygomis (mažesniu ar didesniu nei vienu etatu) </w:t>
      </w:r>
      <w:r>
        <w:rPr>
          <w:color w:val="000000"/>
          <w:sz w:val="22"/>
          <w:szCs w:val="22"/>
          <w:highlight w:val="white"/>
        </w:rPr>
        <w:t>pareiginė</w:t>
      </w:r>
      <w:r>
        <w:rPr>
          <w:sz w:val="22"/>
          <w:szCs w:val="22"/>
          <w:highlight w:val="white"/>
        </w:rPr>
        <w:t xml:space="preserve"> </w:t>
      </w:r>
      <w:r>
        <w:rPr>
          <w:color w:val="000000"/>
          <w:sz w:val="22"/>
          <w:szCs w:val="22"/>
          <w:highlight w:val="white"/>
        </w:rPr>
        <w:t>alga apskaičiuojama ir mokama to darbuotojo proporcingai dirbtam laikui.</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Konkreti pareiginė alga ir darbo laiko norma nustatomi su darbuotoju sudarytoje darbo sutartyje, kuri turi atitikti šio Aprašo nuostatas. Kitos darbo apmokėjimo formos ir sąlygos gali būti nustatomos Įstaigos direktoriaus įsakyme ar kitame tvarkomajame dokumente.</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lastRenderedPageBreak/>
        <w:t>Darbuotojų profesinio ir (ar) vadovaujamojo darbo patirtis, suteikta kvalifikacinė kategorija, darbo ar pedagoginio darbo stažas, kurie įtakoja pareiginės algos dydį, nustatomi įvertinus darbuotojo pateiktus duomenis. Kilus abejonių dėl darbuotojo profesinio ir (ar) vadovaujamojo darbo patirties, suteiktos kvalifikacinės kategorijos, darbo ar pedagoginio darbo stažo, įgytų kitose darbovietėse, darbuotojas, Įstaigos direktoriaus ar jo paskirto atsakingo darbuotojo prašymu, turi pateikti dokumentus, įrodančius kitose darbovietėse įgytą profesinio ir (ar) vadovaujamojo darbo patirtį, kvalifikacinę kategoriją, darbo ar pedagoginio darbo stažą. Nepateikus įrodančių dokumentų pareiginės algos koeficientas tokiam darbuotojui nustatomas vertinant tik Įstaigoje įgytą profesinio ir (ar) vadovaujamojo darbo patirtį, kvalifikacinę kategoriją, darbo ar pedagoginio darbo stažą.</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widowControl w:val="0"/>
        <w:pBdr>
          <w:top w:val="nil"/>
          <w:left w:val="nil"/>
          <w:bottom w:val="nil"/>
          <w:right w:val="nil"/>
          <w:between w:val="nil"/>
        </w:pBdr>
        <w:spacing w:after="80"/>
        <w:jc w:val="center"/>
        <w:rPr>
          <w:color w:val="000000"/>
          <w:sz w:val="22"/>
          <w:szCs w:val="22"/>
        </w:rPr>
      </w:pPr>
      <w:r>
        <w:rPr>
          <w:b/>
          <w:color w:val="000000"/>
          <w:sz w:val="22"/>
          <w:szCs w:val="22"/>
        </w:rPr>
        <w:t>PAREIGYBIŲ STRUKTŪRA IR PAREIGYBIŲ GRUPAVIMAS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Efektyviam darbo apmokėjimo sistemos veikimui ir valdymui užtikrinti Įstaigoje yra nustatoma pareigybių struktūra.</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Darbuotojų pareigybės yra keturių lygių:</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A lygio – pareigybės, kurioms būtinas ne žemesnis kaip aukštasis išsilavinimas:</w:t>
      </w:r>
    </w:p>
    <w:p w:rsidR="005B6508" w:rsidRDefault="00AA030E">
      <w:pPr>
        <w:widowControl w:val="0"/>
        <w:numPr>
          <w:ilvl w:val="2"/>
          <w:numId w:val="3"/>
        </w:numPr>
        <w:pBdr>
          <w:top w:val="nil"/>
          <w:left w:val="nil"/>
          <w:bottom w:val="nil"/>
          <w:right w:val="nil"/>
          <w:between w:val="nil"/>
        </w:pBdr>
        <w:tabs>
          <w:tab w:val="left" w:pos="851"/>
          <w:tab w:val="left" w:pos="1418"/>
          <w:tab w:val="left" w:pos="1701"/>
        </w:tabs>
        <w:spacing w:after="80"/>
        <w:ind w:left="0" w:firstLine="851"/>
        <w:jc w:val="both"/>
        <w:rPr>
          <w:color w:val="000000"/>
          <w:sz w:val="22"/>
          <w:szCs w:val="22"/>
        </w:rPr>
      </w:pPr>
      <w:r>
        <w:rPr>
          <w:color w:val="000000"/>
          <w:sz w:val="22"/>
          <w:szCs w:val="22"/>
        </w:rPr>
        <w:t xml:space="preserve"> A1 lygio – pareigybės, kurioms būtinas ne žemesnis kaip aukštasis universitetinis išsilavinimas su magistro kvalifikaciniu laipsniu ar jam lygiaverte aukštojo mokslo kvalifikacija;</w:t>
      </w:r>
    </w:p>
    <w:p w:rsidR="005B6508" w:rsidRDefault="00AA030E">
      <w:pPr>
        <w:widowControl w:val="0"/>
        <w:numPr>
          <w:ilvl w:val="2"/>
          <w:numId w:val="3"/>
        </w:numPr>
        <w:pBdr>
          <w:top w:val="nil"/>
          <w:left w:val="nil"/>
          <w:bottom w:val="nil"/>
          <w:right w:val="nil"/>
          <w:between w:val="nil"/>
        </w:pBdr>
        <w:tabs>
          <w:tab w:val="left" w:pos="851"/>
          <w:tab w:val="left" w:pos="1418"/>
          <w:tab w:val="left" w:pos="1701"/>
        </w:tabs>
        <w:spacing w:after="80"/>
        <w:ind w:left="0" w:firstLine="851"/>
        <w:jc w:val="both"/>
        <w:rPr>
          <w:color w:val="000000"/>
          <w:sz w:val="22"/>
          <w:szCs w:val="22"/>
        </w:rPr>
      </w:pPr>
      <w:r>
        <w:rPr>
          <w:color w:val="000000"/>
          <w:sz w:val="22"/>
          <w:szCs w:val="22"/>
        </w:rPr>
        <w:t xml:space="preserve"> A2 lygio –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B lygio – pareigybės, kurioms būtinas ne žemesnis kaip aukštesnysis išsilavinimas, įgytas iki 2009 metų, ar specialusis vidurinis išsilavinimas, įgytas iki 1995 metų;</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C lygio – pareigybės, kurioms būtinas ne žemesnis kaip vidurinis išsilavinimas ir (ar) įgyta profesinė kvalifikacija;</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D lygio – pareigybės, kurioms netaikomi išsilavinimo ar profesinės kvalifikacijos reikalavimai.</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 Įstaigos darbuotojų pareigybės skirstomos į šias grupes (nuo aukščiausios iki žemiausios):</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Įstaigos direktorius, kurio pareigybė priskiriama A (A1 ar A2) lygiui, atsižvelgiant į būtiną išsilavinimą toms pareigoms eiti;</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bookmarkStart w:id="2" w:name="_heading=h.1fob9te" w:colFirst="0" w:colLast="0"/>
      <w:bookmarkEnd w:id="2"/>
      <w:r>
        <w:rPr>
          <w:color w:val="000000"/>
          <w:sz w:val="22"/>
          <w:szCs w:val="22"/>
        </w:rPr>
        <w:t xml:space="preserve">Įstaigos direktoriaus pavaduotojas (-ai), kurio (-ių) pareigybė priskiriama A2 lygiui, atsižvelgiant į būtiną išsilavinimą toms pareigoms </w:t>
      </w:r>
      <w:r w:rsidRPr="003672AA">
        <w:rPr>
          <w:sz w:val="22"/>
          <w:szCs w:val="22"/>
        </w:rPr>
        <w:t xml:space="preserve">eiti </w:t>
      </w:r>
      <w:r w:rsidRPr="003672AA">
        <w:rPr>
          <w:i/>
          <w:sz w:val="22"/>
          <w:szCs w:val="22"/>
        </w:rPr>
        <w:t xml:space="preserve"> </w:t>
      </w:r>
      <w:r w:rsidR="003672AA" w:rsidRPr="003672AA">
        <w:rPr>
          <w:i/>
          <w:sz w:val="22"/>
          <w:szCs w:val="22"/>
        </w:rPr>
        <w:t>(</w:t>
      </w:r>
      <w:r w:rsidRPr="003672AA">
        <w:rPr>
          <w:i/>
          <w:sz w:val="22"/>
          <w:szCs w:val="22"/>
        </w:rPr>
        <w:t>direktoriaus pavaduotojas ugdymui, direktori</w:t>
      </w:r>
      <w:r w:rsidR="003672AA">
        <w:rPr>
          <w:i/>
          <w:sz w:val="22"/>
          <w:szCs w:val="22"/>
        </w:rPr>
        <w:t>aus pavaduotojas ūkio reikalams</w:t>
      </w:r>
      <w:r>
        <w:rPr>
          <w:color w:val="000000"/>
          <w:sz w:val="22"/>
          <w:szCs w:val="22"/>
        </w:rPr>
        <w:t>);</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sz w:val="22"/>
          <w:szCs w:val="22"/>
          <w:highlight w:val="white"/>
        </w:rPr>
        <w:t>Padalinių vadovai (skyrių vedėjai), kurių pareigybės priskiriamos A (A1 ar A2) arba B lygiui,</w:t>
      </w:r>
      <w:r>
        <w:rPr>
          <w:color w:val="000000"/>
          <w:sz w:val="22"/>
          <w:szCs w:val="22"/>
        </w:rPr>
        <w:t xml:space="preserve"> atsižvelgiant į būtiną išsilavinimą toms pareigoms eiti </w:t>
      </w:r>
      <w:r w:rsidR="003672AA">
        <w:rPr>
          <w:sz w:val="22"/>
          <w:szCs w:val="22"/>
        </w:rPr>
        <w:t>(</w:t>
      </w:r>
      <w:r w:rsidR="003672AA" w:rsidRPr="003672AA">
        <w:rPr>
          <w:i/>
          <w:sz w:val="22"/>
          <w:szCs w:val="22"/>
        </w:rPr>
        <w:t>skyrių vedėjai,</w:t>
      </w:r>
      <w:r w:rsidRPr="003672AA">
        <w:rPr>
          <w:i/>
          <w:sz w:val="22"/>
          <w:szCs w:val="22"/>
        </w:rPr>
        <w:t xml:space="preserve"> raštin</w:t>
      </w:r>
      <w:r w:rsidR="003672AA">
        <w:rPr>
          <w:i/>
          <w:sz w:val="22"/>
          <w:szCs w:val="22"/>
        </w:rPr>
        <w:t>ės vedėjas</w:t>
      </w:r>
      <w:r>
        <w:rPr>
          <w:color w:val="000000"/>
          <w:sz w:val="22"/>
          <w:szCs w:val="22"/>
        </w:rPr>
        <w:t>)</w:t>
      </w:r>
      <w:r>
        <w:rPr>
          <w:color w:val="990000"/>
          <w:sz w:val="22"/>
          <w:szCs w:val="22"/>
        </w:rPr>
        <w:t>;</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bookmarkStart w:id="3" w:name="_heading=h.3znysh7" w:colFirst="0" w:colLast="0"/>
      <w:bookmarkEnd w:id="3"/>
      <w:r>
        <w:rPr>
          <w:color w:val="000000"/>
          <w:sz w:val="22"/>
          <w:szCs w:val="22"/>
        </w:rPr>
        <w:t xml:space="preserve">mokytojai, kurių pareigybė priskiriama A2 lygiui, atsižvelgiant į būtiną išsilavinimą toms pareigoms eiti </w:t>
      </w:r>
      <w:r w:rsidR="003672AA">
        <w:rPr>
          <w:i/>
          <w:sz w:val="22"/>
          <w:szCs w:val="22"/>
        </w:rPr>
        <w:t>(</w:t>
      </w:r>
      <w:r w:rsidRPr="003672AA">
        <w:rPr>
          <w:i/>
          <w:sz w:val="22"/>
          <w:szCs w:val="22"/>
        </w:rPr>
        <w:t xml:space="preserve">mokytojas, dirbantis pagal ikimokyklinio ugdymo programą; mokytojas, dirbantis pagal priešmokyklinio ugdymo programą; meninio ugdymo mokytojas, neformaliojo (papildomo) švietimo mokytojas, lietuvių kalbos mokytojas, dirbantis pagal ikimokyklinio ir/ar priešmokyklinio ugdymo programą ir </w:t>
      </w:r>
      <w:r w:rsidRPr="003672AA">
        <w:rPr>
          <w:b/>
          <w:i/>
          <w:sz w:val="22"/>
          <w:szCs w:val="22"/>
          <w:u w:val="single"/>
        </w:rPr>
        <w:t>kiti mokytojai (pagal Įstaigos specifiką, išvardinti)</w:t>
      </w:r>
      <w:r w:rsidRPr="003672AA">
        <w:rPr>
          <w:i/>
          <w:sz w:val="22"/>
          <w:szCs w:val="22"/>
        </w:rPr>
        <w:t>]</w:t>
      </w:r>
      <w:r w:rsidRPr="003672AA">
        <w:rPr>
          <w:sz w:val="22"/>
          <w:szCs w:val="22"/>
        </w:rPr>
        <w:t>);</w:t>
      </w:r>
    </w:p>
    <w:p w:rsidR="005B6508" w:rsidRPr="003672AA"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sz w:val="22"/>
          <w:szCs w:val="22"/>
        </w:rPr>
      </w:pPr>
      <w:bookmarkStart w:id="4" w:name="_heading=h.2et92p0" w:colFirst="0" w:colLast="0"/>
      <w:bookmarkEnd w:id="4"/>
      <w:r>
        <w:rPr>
          <w:color w:val="000000"/>
          <w:sz w:val="22"/>
          <w:szCs w:val="22"/>
        </w:rPr>
        <w:t xml:space="preserve">švietimo pagalbos specialistai, kurių pareigybės priskiriamos A2 lygiui (išskyrus psichologo pareigybę, kuri priskiriama A1 lygiui), atsižvelgiant į būtiną išsilavinimą toms pareigoms eiti </w:t>
      </w:r>
      <w:r w:rsidR="003672AA">
        <w:rPr>
          <w:sz w:val="22"/>
          <w:szCs w:val="22"/>
        </w:rPr>
        <w:t>(</w:t>
      </w:r>
      <w:r w:rsidRPr="003672AA">
        <w:rPr>
          <w:i/>
          <w:sz w:val="22"/>
          <w:szCs w:val="22"/>
        </w:rPr>
        <w:t xml:space="preserve">logopedas, psichologas, psichologo asistentas, specialusis pedagogas, socialinis pedagogas, surdopedagogas, tiflopedagogas, </w:t>
      </w:r>
      <w:r w:rsidR="003672AA">
        <w:rPr>
          <w:i/>
          <w:sz w:val="22"/>
          <w:szCs w:val="22"/>
        </w:rPr>
        <w:t>judesio korekcijos specialistas</w:t>
      </w:r>
      <w:r w:rsidRPr="003672AA">
        <w:rPr>
          <w:sz w:val="22"/>
          <w:szCs w:val="22"/>
        </w:rPr>
        <w:t>);</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 xml:space="preserve">specialistai, kurių pareigybės priskiriamos A arba B lygiui, atsižvelgiant į būtiną išsilavinimą toms pareigoms eiti </w:t>
      </w:r>
      <w:r w:rsidR="003672AA">
        <w:rPr>
          <w:sz w:val="22"/>
          <w:szCs w:val="22"/>
        </w:rPr>
        <w:t>(</w:t>
      </w:r>
      <w:r w:rsidRPr="003672AA">
        <w:rPr>
          <w:i/>
          <w:sz w:val="22"/>
          <w:szCs w:val="22"/>
        </w:rPr>
        <w:t>sekretorius, ūkio vedėjas, informatikos inžinierius, vyr. virėjas</w:t>
      </w:r>
      <w:r w:rsidRPr="003672AA">
        <w:rPr>
          <w:sz w:val="22"/>
          <w:szCs w:val="22"/>
        </w:rPr>
        <w:t>);</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bookmarkStart w:id="5" w:name="_heading=h.tyjcwt" w:colFirst="0" w:colLast="0"/>
      <w:bookmarkEnd w:id="5"/>
      <w:r>
        <w:rPr>
          <w:color w:val="000000"/>
          <w:sz w:val="22"/>
          <w:szCs w:val="22"/>
        </w:rPr>
        <w:t>kvalifikuoti darbuotojai, kurių pareigybės priskiriamos C lygiui (</w:t>
      </w:r>
      <w:r w:rsidRPr="003672AA">
        <w:rPr>
          <w:i/>
          <w:sz w:val="22"/>
          <w:szCs w:val="22"/>
        </w:rPr>
        <w:t xml:space="preserve"> mokytojo padėjėjas, mokinio padėjėjas (nuo 2024-09-01), virėjas, sandėlininkas, mokytojo padėjėjas, dirbantis su specialiojo poreikio vaikais</w:t>
      </w:r>
      <w:r>
        <w:rPr>
          <w:color w:val="000000"/>
          <w:sz w:val="22"/>
          <w:szCs w:val="22"/>
        </w:rPr>
        <w:t>);</w:t>
      </w:r>
    </w:p>
    <w:p w:rsidR="005B6508" w:rsidRPr="003672AA"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sz w:val="22"/>
          <w:szCs w:val="22"/>
        </w:rPr>
      </w:pPr>
      <w:r>
        <w:rPr>
          <w:color w:val="000000"/>
          <w:sz w:val="22"/>
          <w:szCs w:val="22"/>
        </w:rPr>
        <w:t xml:space="preserve">nekvalifikuoti darbuotojai (toliau – darbininkai), kurių pareigybės priskiriamos D lygiui </w:t>
      </w:r>
      <w:r w:rsidRPr="003672AA">
        <w:rPr>
          <w:sz w:val="22"/>
          <w:szCs w:val="22"/>
        </w:rPr>
        <w:t>(</w:t>
      </w:r>
      <w:r w:rsidRPr="003672AA">
        <w:rPr>
          <w:i/>
          <w:sz w:val="22"/>
          <w:szCs w:val="22"/>
        </w:rPr>
        <w:t>sargas, kiemsargis, valytojas, einamojo remonto darbininkas, pagalbinis darbuotojas, skalbėjas, kūrikas</w:t>
      </w:r>
      <w:r w:rsidRPr="003672AA">
        <w:rPr>
          <w:sz w:val="22"/>
          <w:szCs w:val="22"/>
        </w:rPr>
        <w:t>).</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Įstaigos pareigybių struktūra peržiūrima ir atnaujinama dėl struktūrinių pertvarkymų ar darbo organizavimo pokyčių, t. y. kai visiškai keičiasi arba deleguojamos naujos funkcijos, arba, kai steigiamos naujos pareigybės, kurių analogų Įstaigos pareigybių struktūroje nėra. Pareigybės lygis ir grupė nustatomi pareigybės </w:t>
      </w:r>
      <w:r>
        <w:rPr>
          <w:color w:val="000000"/>
          <w:sz w:val="22"/>
          <w:szCs w:val="22"/>
        </w:rPr>
        <w:lastRenderedPageBreak/>
        <w:t>steigimo metu. Pareigybės lygis ir grupė gali būti keičiami pareigybės aprašymo keitimo metu, Įstaigos pareigybių struktūros ar pareiginės algos koeficientų intervalų peržiūros metu.</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Įstaigos direktorius, suderinęs su Vilniaus </w:t>
      </w:r>
      <w:r>
        <w:rPr>
          <w:sz w:val="22"/>
          <w:szCs w:val="22"/>
        </w:rPr>
        <w:t>rajono</w:t>
      </w:r>
      <w:r>
        <w:rPr>
          <w:color w:val="000000"/>
          <w:sz w:val="22"/>
          <w:szCs w:val="22"/>
        </w:rPr>
        <w:t xml:space="preserve"> savivaldybės vykdomąja institucija arba jos įgaliotu asmeniu, tvirtina Įstaigos darbuotojų pareigybių sąrašą neviršydamas nustatyto didžiausio leistino pareigybių skaičiaus.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Esant poreikiui Įstaigoje įsteigti naują darbuotojo pareigybę arba jei darbuotojui jau einant pareigas įvyksta struktūriniai ar organizaciniai pokyčiai Įstaigos direktorius, suderinęs su Vilniaus </w:t>
      </w:r>
      <w:r>
        <w:rPr>
          <w:sz w:val="22"/>
          <w:szCs w:val="22"/>
        </w:rPr>
        <w:t>rajono</w:t>
      </w:r>
      <w:r>
        <w:rPr>
          <w:color w:val="000000"/>
          <w:sz w:val="22"/>
          <w:szCs w:val="22"/>
        </w:rPr>
        <w:t xml:space="preserve"> savivaldybės vykdomąja institucija arba jos įgaliotu asmeniu ir neviršydamas patvirtinto darbo užmokesčio fondo bei Įstaigai nustatyto didžiausio leistino pareigybių skaičiaus, gali keisti pareigybių pavadinimus.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Darbuotojų pareigybių aprašymus tvirtina Įstaigos direktorius pagal Lietuvos Respublikos socialinės apsaugos ir darbo ministro 2017 m. balandžio 12 d. įsakymu Nr. A1-177 patvirtintą Valstybės ir savivaldybių įstaigų darbuotojų pareigybių aprašymo metodiką (išskyrus mokytojų pareigybes).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Darbuotojo (išskyrus mokytojo) pareigybės aprašyme nurodoma:</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pareigybės grupė;</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pareigybės pavadinimas;</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pareigybės lygis;</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specialieji reikalavimai, keliami šias pareigas einančiam darbuotojui (išsilavinimas, darbo patirtis, profesinė kvalifikacija);</w:t>
      </w:r>
    </w:p>
    <w:p w:rsidR="005B6508" w:rsidRDefault="00AA030E">
      <w:pPr>
        <w:widowControl w:val="0"/>
        <w:numPr>
          <w:ilvl w:val="1"/>
          <w:numId w:val="3"/>
        </w:numPr>
        <w:pBdr>
          <w:top w:val="nil"/>
          <w:left w:val="nil"/>
          <w:bottom w:val="nil"/>
          <w:right w:val="nil"/>
          <w:between w:val="nil"/>
        </w:pBdr>
        <w:tabs>
          <w:tab w:val="left" w:pos="1260"/>
          <w:tab w:val="left" w:pos="1418"/>
        </w:tabs>
        <w:spacing w:after="80"/>
        <w:ind w:left="0" w:firstLine="851"/>
        <w:jc w:val="both"/>
        <w:rPr>
          <w:color w:val="000000"/>
          <w:sz w:val="22"/>
          <w:szCs w:val="22"/>
        </w:rPr>
      </w:pPr>
      <w:r>
        <w:rPr>
          <w:color w:val="000000"/>
          <w:sz w:val="22"/>
          <w:szCs w:val="22"/>
        </w:rPr>
        <w:t>pareigybei priskirtos funkcijos.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Mokytojų pareigybės aprašymai tvirtinami pagal Lietuvos Respublikos švietimo ir mokslo ministro 2018 m. liepos 26 d. įsakymu Nr. V-674 patvirtintą Mokytojų (išskyrus trenerius) pareigybių aprašymo metodiką.</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bookmarkStart w:id="6" w:name="_heading=h.3dy6vkm" w:colFirst="0" w:colLast="0"/>
      <w:bookmarkEnd w:id="6"/>
      <w:r>
        <w:rPr>
          <w:b/>
          <w:color w:val="000000"/>
          <w:sz w:val="22"/>
          <w:szCs w:val="22"/>
        </w:rPr>
        <w:t>SKYRIUS</w:t>
      </w:r>
    </w:p>
    <w:p w:rsidR="005B6508" w:rsidRDefault="00AA030E">
      <w:pPr>
        <w:widowControl w:val="0"/>
        <w:pBdr>
          <w:top w:val="nil"/>
          <w:left w:val="nil"/>
          <w:bottom w:val="nil"/>
          <w:right w:val="nil"/>
          <w:between w:val="nil"/>
        </w:pBdr>
        <w:tabs>
          <w:tab w:val="left" w:pos="1260"/>
        </w:tabs>
        <w:spacing w:after="80"/>
        <w:jc w:val="center"/>
        <w:rPr>
          <w:color w:val="000000"/>
          <w:sz w:val="22"/>
          <w:szCs w:val="22"/>
        </w:rPr>
      </w:pPr>
      <w:r>
        <w:rPr>
          <w:b/>
          <w:color w:val="000000"/>
          <w:sz w:val="22"/>
          <w:szCs w:val="22"/>
        </w:rPr>
        <w:t>PAREIGI</w:t>
      </w:r>
      <w:r w:rsidR="003672AA">
        <w:rPr>
          <w:b/>
          <w:color w:val="000000"/>
          <w:sz w:val="22"/>
          <w:szCs w:val="22"/>
        </w:rPr>
        <w:t xml:space="preserve">NĖS ALGOS KOEFICIENTŲ </w:t>
      </w:r>
      <w:r>
        <w:rPr>
          <w:b/>
          <w:color w:val="000000"/>
          <w:sz w:val="22"/>
          <w:szCs w:val="22"/>
        </w:rPr>
        <w:t>NUSTATYMAS IR KONKREČIOS PAREIGYBĖS PAREIGINĖS ALGOS KOEFICIENTO DYDŽIO NUSTATYMAS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7" w:name="_heading=h.1t3h5sf" w:colFirst="0" w:colLast="0"/>
      <w:bookmarkEnd w:id="7"/>
      <w:r>
        <w:rPr>
          <w:color w:val="000000"/>
          <w:sz w:val="22"/>
          <w:szCs w:val="22"/>
        </w:rPr>
        <w:t>Įstaigos pareigybių (išskyrus direktorių, direktoriaus pavaduotojus ugdymui, kitus pavaduotojus, kurių darbas laikomas pedagoginiu, mokyklų ugdymą organizuojančių skyrių vedėjus, kitus vedėjus, kurių darbas laikomas pedagoginiu, mokytojus, taip pat pagalbos mokiniui specialistus ir darbininkus) pareiginės algos koeficient</w:t>
      </w:r>
      <w:r>
        <w:rPr>
          <w:sz w:val="22"/>
          <w:szCs w:val="22"/>
        </w:rPr>
        <w:t>ai nurodyti</w:t>
      </w:r>
      <w:r>
        <w:rPr>
          <w:color w:val="000000"/>
          <w:sz w:val="22"/>
          <w:szCs w:val="22"/>
        </w:rPr>
        <w:t xml:space="preserve"> </w:t>
      </w:r>
      <w:r>
        <w:rPr>
          <w:b/>
          <w:color w:val="000000"/>
          <w:sz w:val="22"/>
          <w:szCs w:val="22"/>
        </w:rPr>
        <w:t>šio Aprašo 1 priede</w:t>
      </w:r>
      <w:r>
        <w:rPr>
          <w:color w:val="000000"/>
          <w:sz w:val="22"/>
          <w:szCs w:val="22"/>
        </w:rPr>
        <w:t>.</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8" w:name="_heading=h.4d34og8" w:colFirst="0" w:colLast="0"/>
      <w:bookmarkEnd w:id="8"/>
      <w:r>
        <w:rPr>
          <w:color w:val="000000"/>
          <w:sz w:val="22"/>
          <w:szCs w:val="22"/>
        </w:rPr>
        <w:t>Nustatant Įstaigos pareigybių pareiginės algos koeficient</w:t>
      </w:r>
      <w:r>
        <w:rPr>
          <w:sz w:val="22"/>
          <w:szCs w:val="22"/>
        </w:rPr>
        <w:t>us</w:t>
      </w:r>
      <w:r>
        <w:rPr>
          <w:color w:val="000000"/>
          <w:sz w:val="22"/>
          <w:szCs w:val="22"/>
        </w:rPr>
        <w:t xml:space="preserve"> aukščiausio pareigybių lygmens maksimali pareiginės algos reikšmė negali viršyti Įstaigos direktoriui nustatyto pareiginės algos koeficiento. </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9" w:name="_heading=h.f0qt4h738jie" w:colFirst="0" w:colLast="0"/>
      <w:bookmarkEnd w:id="9"/>
      <w:r>
        <w:rPr>
          <w:b/>
          <w:color w:val="000000"/>
          <w:sz w:val="22"/>
          <w:szCs w:val="22"/>
        </w:rPr>
        <w:t>Šio Aprašo 1 priede</w:t>
      </w:r>
      <w:r>
        <w:rPr>
          <w:color w:val="000000"/>
          <w:sz w:val="22"/>
          <w:szCs w:val="22"/>
        </w:rPr>
        <w:t xml:space="preserve"> nustatoma pareiginės algos koeficientų minimali ir maksimali reikšmės, kurios suteikia galimybę nustatyti pagrįstai skirtingą atlygį konkretiems darbuotojams pagal jų individualias kompetencijas, patirtį ir rezultatus. </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Darbuotojų pareiginės algos minimalus koeficientas negali būti mažesnis nei tokiai pareigybei DAĮ nustatyta minimali riba.</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b/>
          <w:color w:val="000000"/>
          <w:sz w:val="22"/>
          <w:szCs w:val="22"/>
        </w:rPr>
        <w:t>Šio Aprašo 1 priede</w:t>
      </w:r>
      <w:r>
        <w:rPr>
          <w:color w:val="000000"/>
          <w:sz w:val="22"/>
          <w:szCs w:val="22"/>
        </w:rPr>
        <w:t xml:space="preserve"> nustatyti pareiginės algos koeficient</w:t>
      </w:r>
      <w:r>
        <w:rPr>
          <w:sz w:val="22"/>
          <w:szCs w:val="22"/>
        </w:rPr>
        <w:t>ai</w:t>
      </w:r>
      <w:r>
        <w:rPr>
          <w:color w:val="000000"/>
          <w:sz w:val="22"/>
          <w:szCs w:val="22"/>
        </w:rPr>
        <w:t xml:space="preserve"> peržiūrimi ir pakeičiami pasikeitus darbo rinkos sąlygoms, DAĮ nustatytoms minimalioms pareiginės algos koeficientų riboms, Įstaigai darbo užmokesčiui skirtų lėšų biudžetui bei Įstaigai priskirtoms funkcijoms.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highlight w:val="white"/>
        </w:rPr>
      </w:pPr>
      <w:r>
        <w:rPr>
          <w:color w:val="000000"/>
          <w:sz w:val="22"/>
          <w:szCs w:val="22"/>
          <w:highlight w:val="white"/>
        </w:rPr>
        <w:t>Įstaigos darbuotojams (išskyrus direktorių, direktoriaus pavaduotojus ugdymui, kitus pavaduotojus, kurių darbas laikomas pedagoginiu, mokyklų ugdymą organizuojančių skyrių vedėjus, kitus vedėjus, kurių darbas laikomas pedagoginiu, mokytojus, taip pat pagalbos mokiniui specialistus ir darbininkus) konkretus pareiginės algos dydis nustatomas pagal pareiginės algos koeficientų</w:t>
      </w:r>
      <w:r>
        <w:rPr>
          <w:sz w:val="22"/>
          <w:szCs w:val="22"/>
          <w:highlight w:val="white"/>
        </w:rPr>
        <w:t xml:space="preserve"> </w:t>
      </w:r>
      <w:r>
        <w:rPr>
          <w:color w:val="000000"/>
          <w:sz w:val="22"/>
          <w:szCs w:val="22"/>
          <w:highlight w:val="white"/>
        </w:rPr>
        <w:t>dydžius įvertinus Įstaigos finansines galimybes bei atsižvelgiant į Įstaigos veiklos specifiką ir pareigybėms priskirtas funkcijas. Taikomi šie pareiginės algos koeficiento dydžio nustatymo kriterijai pagal:</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highlight w:val="white"/>
        </w:rPr>
      </w:pPr>
      <w:r>
        <w:rPr>
          <w:color w:val="000000"/>
          <w:sz w:val="22"/>
          <w:szCs w:val="22"/>
          <w:highlight w:val="white"/>
        </w:rPr>
        <w:t>veiklos sudėtingumo lygį (apimtį), apibrėžiantį gebėjimą atlikti tam tikro sudėtingumo (apimties) užduotis;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highlight w:val="white"/>
        </w:rPr>
      </w:pPr>
      <w:r>
        <w:rPr>
          <w:color w:val="000000"/>
          <w:sz w:val="22"/>
          <w:szCs w:val="22"/>
          <w:highlight w:val="white"/>
        </w:rPr>
        <w:t>atsakomybės lygį, apibrėžiantį pareigybei nustatytas funkcijas, faktinį atsakomybės poveikio lygį už laukiamą rezultatą;</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highlight w:val="white"/>
        </w:rPr>
      </w:pPr>
      <w:r>
        <w:rPr>
          <w:color w:val="000000"/>
          <w:sz w:val="22"/>
          <w:szCs w:val="22"/>
          <w:highlight w:val="white"/>
        </w:rPr>
        <w:t>darbo pobūdį, reikalingas žinias, patirtį;</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highlight w:val="white"/>
        </w:rPr>
      </w:pPr>
      <w:r>
        <w:rPr>
          <w:color w:val="000000"/>
          <w:sz w:val="22"/>
          <w:szCs w:val="22"/>
          <w:highlight w:val="white"/>
        </w:rPr>
        <w:lastRenderedPageBreak/>
        <w:t>darbuotojo individualias kompetencijas, patirtį ir rezultatus.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 Pasikeitus aplinkybėms laikotarpiu nuo sausio 1 d. iki rugpjūčio 31 d. koeficiento dydis nustatomas iš naujo nuo rugsėjo 1 d., o pasikeitus aplinkybėms laikotarpiu nuo rugsėjo 1 d. iki gruodžio 31 d. pareiginės algos koeficientas nustatomas iš naujo nuo sausio 1 d.</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Keičiant Aprašą,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Darbininkų pareiginė alga nustatoma minimaliosios mėnesinės algos dydžio ir mokama proporcingai dirbtam laikui (nustatytam etatui).</w:t>
      </w:r>
    </w:p>
    <w:p w:rsidR="005B6508" w:rsidRDefault="005B6508">
      <w:pPr>
        <w:widowControl w:val="0"/>
        <w:pBdr>
          <w:top w:val="nil"/>
          <w:left w:val="nil"/>
          <w:bottom w:val="nil"/>
          <w:right w:val="nil"/>
          <w:between w:val="nil"/>
        </w:pBdr>
        <w:tabs>
          <w:tab w:val="left" w:pos="1260"/>
        </w:tabs>
        <w:spacing w:after="80"/>
        <w:ind w:firstLine="720"/>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widowControl w:val="0"/>
        <w:pBdr>
          <w:top w:val="nil"/>
          <w:left w:val="nil"/>
          <w:bottom w:val="nil"/>
          <w:right w:val="nil"/>
          <w:between w:val="nil"/>
        </w:pBdr>
        <w:tabs>
          <w:tab w:val="left" w:pos="1260"/>
        </w:tabs>
        <w:spacing w:after="80"/>
        <w:jc w:val="center"/>
        <w:rPr>
          <w:color w:val="000000"/>
          <w:sz w:val="22"/>
          <w:szCs w:val="22"/>
        </w:rPr>
      </w:pPr>
      <w:r>
        <w:rPr>
          <w:b/>
          <w:color w:val="000000"/>
          <w:sz w:val="22"/>
          <w:szCs w:val="22"/>
        </w:rPr>
        <w:t>MOKYTOJŲ, PAGALBOS MOKINIUI SPECIALISTŲ, ĮSTAIGOS DIREKTORIAUS IR JO PAVADUOTOJŲ UGDYMUI, UGDYMĄ ORGANIZUOJANČIŲ SKYRIŲ VEDĖJŲ, KURIŲ DARBAS LAIKOMAS PEDAGOGINIU, PAREIGINĖS ALGOS NUSTATYMAS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Mokytojų, pagalbos mokiniui specialistų (specialiųjų pedagogų, logopedų, surdopedagogų, tiflopedagogų, judesio korekcijos specialistų, karjeros specialistų, psichologų asistentų, psichologų, socialinių pedagogų, auklėtojų, koncertmeisterių, akompaniatorių), direktoriaus, direktoriaus pavaduotojų ugdymui, kitų pavaduotojų, kurių darbas laikomas pedagoginiu, ugdymą organizuojančių skyrių vedėjų, kitų skyrių vedėjų, kurių darbas laikomas pedagoginiu, pareiginės algos koeficientai nustatomi pagal </w:t>
      </w:r>
      <w:r>
        <w:rPr>
          <w:b/>
          <w:color w:val="000000"/>
          <w:sz w:val="22"/>
          <w:szCs w:val="22"/>
        </w:rPr>
        <w:t>DAĮ 2 priedą</w:t>
      </w:r>
      <w:r>
        <w:rPr>
          <w:color w:val="000000"/>
          <w:sz w:val="22"/>
          <w:szCs w:val="22"/>
        </w:rPr>
        <w:t>.</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0" w:name="_heading=h.17dp8vu" w:colFirst="0" w:colLast="0"/>
      <w:bookmarkEnd w:id="10"/>
      <w:r>
        <w:rPr>
          <w:color w:val="000000"/>
          <w:sz w:val="22"/>
          <w:szCs w:val="22"/>
        </w:rPr>
        <w:t>Mokytojų, pagalbos mokiniui specialistų (specialiųjų pedagogų, logopedų, surdopedagogų, tiflopedagogų, judesio korekcijos specialistų, karjeros specialistų, psichologų asistentų, psichologų, socialinių pedagogų, auklėtojų, koncertmeisterių, akompaniatorių), Įstaigos direktoriaus, direktoriaus pavaduotojų, kurių darbas laikomas pedagoginiu, ugdymą organizuojančių skyrių vedėjų, kitų skyrių vedėjų, kurių darbas laikomas pedagoginiu pareiginės algos koeficientas turi būti nustatomas iš naujo pasikeitus mokinių skaičiui, pedagoginio darbo stažui, kvalifikacinei kategorijai, veiklos sudėtingumui. Pasikeitus aplinkybėms laikotarpiu nuo sausio 1 d. iki rugpjūčio 31 d. koeficiento dydis nustatomas iš naujo nuo rugsėjo 1 d., o pasikeitus aplinkybėms laikotarpiu nuo rugsėjo 1 d. iki gruodžio 31 d. pareiginės algos koeficientas nustatomas iš naujo nuo sausio 1 d.</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Pareiginės algos koeficientai dėl veiklos sudėtingumo didinami pagal šio </w:t>
      </w:r>
      <w:r w:rsidRPr="003672AA">
        <w:rPr>
          <w:b/>
          <w:color w:val="000000"/>
          <w:sz w:val="22"/>
          <w:szCs w:val="22"/>
        </w:rPr>
        <w:t>Aprašo 2 priede</w:t>
      </w:r>
      <w:r>
        <w:rPr>
          <w:color w:val="000000"/>
          <w:sz w:val="22"/>
          <w:szCs w:val="22"/>
        </w:rPr>
        <w:t xml:space="preserve"> nustatytus kriterijus ir dydžius. Padidinimai nustatomi su darbuotojų sudarytoje darbo sutartyje ar kitame Įstaigos tvarkomajame dokumente (įsakyme ar kitame tvarkomajame dokumente) ir galioja kol egzistuoja aplinkybės, sąlygojančios pareiginės algos padidinimą dėl veiklos sudėtingumo. Pasikeitus veiklos sudėtingumo aplinkybėms (pvz. pasikeitus mokinių, turinčių specialiųjų ugdymosi poreikių, ar užsieniečių skaičiui) pareiginės algos padidinimas peržiūrimas ir jo dydis atitinkamai keičiamas ar naikinamas.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Mokytojų ir pagalbos mokiniui specialistų (specialiųjų pedagogų, logopedų, surdopedagogų, tiflopedagogų, judesio korekcijos specialistų, karjeros specialistų, psichologų asistentų, psichologų, socialinių pedagogų, auklėtojų, koncertmeisterių, akompaniatorių) darbo krūvio sandara sudaroma pagal </w:t>
      </w:r>
      <w:r>
        <w:rPr>
          <w:b/>
          <w:color w:val="000000"/>
          <w:sz w:val="22"/>
          <w:szCs w:val="22"/>
        </w:rPr>
        <w:t>DAĮ 2 priede nustatytą darbo laiko normą ir darbo laiko paskirstymą.</w:t>
      </w:r>
    </w:p>
    <w:p w:rsidR="005B6508" w:rsidRDefault="005B6508">
      <w:pPr>
        <w:widowControl w:val="0"/>
        <w:pBdr>
          <w:top w:val="nil"/>
          <w:left w:val="nil"/>
          <w:bottom w:val="nil"/>
          <w:right w:val="nil"/>
          <w:between w:val="nil"/>
        </w:pBdr>
        <w:tabs>
          <w:tab w:val="left" w:pos="1260"/>
        </w:tabs>
        <w:spacing w:after="80"/>
        <w:jc w:val="both"/>
        <w:rPr>
          <w:color w:val="000000"/>
          <w:sz w:val="22"/>
          <w:szCs w:val="22"/>
          <w:highlight w:val="yellow"/>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tabs>
          <w:tab w:val="left" w:pos="0"/>
          <w:tab w:val="left" w:pos="1418"/>
        </w:tabs>
        <w:spacing w:after="80"/>
        <w:ind w:right="49"/>
        <w:jc w:val="center"/>
        <w:rPr>
          <w:color w:val="000000"/>
          <w:sz w:val="22"/>
          <w:szCs w:val="22"/>
        </w:rPr>
      </w:pPr>
      <w:r>
        <w:rPr>
          <w:b/>
          <w:color w:val="000000"/>
          <w:sz w:val="22"/>
          <w:szCs w:val="22"/>
        </w:rPr>
        <w:t>PRIEMOKŲ SKYRIMO TVARKA IR DYDŽIAI</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Priemokos darbuotojams gali būti skiriamos už:</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bookmarkStart w:id="11" w:name="_heading=h.3rdcrjn" w:colFirst="0" w:colLast="0"/>
      <w:bookmarkEnd w:id="11"/>
      <w:r>
        <w:rPr>
          <w:color w:val="000000"/>
          <w:sz w:val="22"/>
          <w:szCs w:val="22"/>
        </w:rPr>
        <w:t>kito darbuotojo pavadavimą, kai raštu pavedama laikinai atlikti kito darbuotojo pareigybei nustatytas funkcijas: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bookmarkStart w:id="12" w:name="_heading=h.lnxbz9" w:colFirst="0" w:colLast="0"/>
      <w:bookmarkEnd w:id="12"/>
      <w:r>
        <w:rPr>
          <w:color w:val="000000"/>
          <w:sz w:val="22"/>
          <w:szCs w:val="22"/>
        </w:rPr>
        <w:t>už papildomų užduočių, suformuluotų raštu, atlikimą, kai dėl to viršijamas įprastas darbo krūvis, arba kai atliekamos pareigybės aprašyme nenumatytos funkcijos: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bookmarkStart w:id="13" w:name="_heading=h.35nkun2" w:colFirst="0" w:colLast="0"/>
      <w:bookmarkEnd w:id="13"/>
      <w:r>
        <w:rPr>
          <w:color w:val="000000"/>
          <w:sz w:val="22"/>
          <w:szCs w:val="22"/>
        </w:rPr>
        <w:t>įprastą darbo krūvį viršijančią veiklą, kai yra padidėjęs darbų mastas, atliekant pareigybės aprašyme nustatytas funkcijas, bet neviršijama nustatyta darbo laiko trukmė:</w:t>
      </w:r>
    </w:p>
    <w:p w:rsidR="005B6508" w:rsidRPr="003672AA"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4" w:name="_heading=h.44sinio" w:colFirst="0" w:colLast="0"/>
      <w:bookmarkEnd w:id="14"/>
      <w:r w:rsidRPr="003672AA">
        <w:rPr>
          <w:color w:val="000000"/>
          <w:sz w:val="22"/>
          <w:szCs w:val="22"/>
        </w:rPr>
        <w:t xml:space="preserve">Kiekviena priemoka, nurodyta šio Aprašo </w:t>
      </w:r>
      <w:r w:rsidRPr="003672AA">
        <w:rPr>
          <w:color w:val="0070C0"/>
          <w:sz w:val="22"/>
          <w:szCs w:val="22"/>
        </w:rPr>
        <w:t>34 punkte</w:t>
      </w:r>
      <w:r w:rsidRPr="003672AA">
        <w:rPr>
          <w:color w:val="000000"/>
          <w:sz w:val="22"/>
          <w:szCs w:val="22"/>
        </w:rPr>
        <w:t xml:space="preserve">, negali būti mažesnė kaip 10 procentų pareiginės algos, o jų bendra suma negali viršyti 80 procentų pareiginės algos. </w:t>
      </w:r>
      <w:r w:rsidRPr="003672AA">
        <w:rPr>
          <w:color w:val="000000"/>
          <w:sz w:val="22"/>
          <w:szCs w:val="22"/>
          <w:u w:val="single"/>
        </w:rPr>
        <w:t xml:space="preserve">Jei darbuotojas kitą darbuotoją pavadavo arba </w:t>
      </w:r>
      <w:r w:rsidRPr="003672AA">
        <w:rPr>
          <w:color w:val="000000"/>
          <w:sz w:val="22"/>
          <w:szCs w:val="22"/>
          <w:u w:val="single"/>
        </w:rPr>
        <w:lastRenderedPageBreak/>
        <w:t>papildomas užduotis ar įprastą darbo krūvį viršijančią veiklą vykdė ne visą mėnesį, o tik jo dalį (pavyzdžiui tik vieną ar kelias dienas, savaitę ir pan.), tokiu atveju priemoka negali būti mažesnė kaip 10 procentų pareiginės algos, proporcingos faktiškai dirbtų pavaduotų dienų skaičiui arba papildomos užduoties ar įprastą darbo krūvį viršijančios veiklos vykdymo skaičiui (pavyzdžiui jei mokytojas mėnesį, už kurį apskaičiuojama priemoka, pavadavo kitą mokytoja vienos dienos vieną pamoką, priemokos dydis negali būti mažesnis kaip 10 procentų pareiginės algos, mokamos už tą darbo dieną.</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Pavadavimas, papildomas darbo krūvis, papildomos darbo funkcijos ar užduotys pavedamos darbuotojui tiesioginio vadovo pritarimu. Priemoka skiriama Įstaigos direktoriaus įsakymu, kuriame turi būti nurodyta išsami informacija, už ką nustatyta priemoka, konkrečios aplinkybės, kurioms esant priemoka yra mokama, priemokos dydis, konkretus priemokos mokėjimo terminas arba konkrečios aplinkybės, kurioms išnykus priemokos mokėjimas nutraukiamas.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5" w:name="_heading=h.2jxsxqh" w:colFirst="0" w:colLast="0"/>
      <w:bookmarkEnd w:id="15"/>
      <w:r>
        <w:rPr>
          <w:color w:val="000000"/>
          <w:sz w:val="22"/>
          <w:szCs w:val="22"/>
        </w:rPr>
        <w:t>Kiekvienu atveju konkrečios priemokos dydį nustato Įstaigos direktorius, atsižvelgdamas į pavadavimo, papildomų užduočių ar įprastą darbo krūvį viršijančios veiklos sudėtingumo lygį ir įvertinęs Įstaigos turimą darbo užmokesčiui skirtų lėšų biudžetą. Skiriant priemoką ir nustatant jos dydį laikomasi tokių kriterijų:</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bookmarkStart w:id="16" w:name="_heading=h.z337ya" w:colFirst="0" w:colLast="0"/>
      <w:bookmarkEnd w:id="16"/>
      <w:r w:rsidRPr="003672AA">
        <w:rPr>
          <w:color w:val="000000"/>
          <w:sz w:val="22"/>
          <w:szCs w:val="22"/>
        </w:rPr>
        <w:t>šiame Aprašo skyriuje numatyti priemokų dydžiai taikomi tik esant pakankamam Įstaigos turimų darbo užmokesčiui skirtų lėšų biudžetui. Biudžete trūkstant lėšų skiriamos galimos priemokos dydis proporcingai sumažinamas, išlaikant Apraše nustatytų priemokų ribinių dydžių proporcijas;</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priemoka skiriama, jei papildoma užduotis (darbas) ar funkcija, kuri pavedama atitinkamam darbuotojui, susiję su Įstaigos tiesioginių funkcijų įgyvendinimu, atitinkamo darbuotojo pareigybės aprašyme nėra nustatyta kaip nuolatinė funkcija ir (ar) nedubliuoja kito darbuotojo pareigybės aprašyme nustatytų funkcijų, išskyrus laikinai nesančio darbe darbuotojo pavadavimo atvejus ar esant laisvai pareigybei konkurso ar atrankos organizavimo laikotarpiu atvejus;</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priemoka, pavaduojant nesančius darbuotojus, nustatoma, jei susidaro darbo užmokesčio biudžeto ekonomija pavaduojamų darbuotojų kategorijai;</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jeigu pavaduojama darbo metu (tuo pačiu metu kai darbuotojas vykdo savo pagrindines funkcijas Įstaigoje), už pavadavimą skiriama priemoka pagal pavaduojančio darbuotojo pareiginės algos dydį;</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jeigu pavaduojama po savo darbo (atliekama laisvu nuo pagrindinės funkcijos atlikimo laiku), už pavadavimą skiriamas papildomas darbo užmokestis, kuris negali viršyti pavaduojamo darbuotojo pareiginės algos, ir nustatomas pagal pavaduojančio darbuotojo pareiginės algos dydį;</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kito darbuotojo neapmokamų ar mokymosi atostogų metu, ligos ar ligonio slaugymo atveju, pavaduojančiajam darbuotojui negali būti priskaičiuojama daugiau papildomo atlyginimo nei susitaupė;</w:t>
      </w:r>
    </w:p>
    <w:p w:rsidR="005B6508" w:rsidRPr="003672AA"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sidRPr="003672AA">
        <w:rPr>
          <w:color w:val="000000"/>
          <w:sz w:val="22"/>
          <w:szCs w:val="22"/>
        </w:rPr>
        <w:t>kitų darbuotojų pavadavimo jų kasmetinių atostogų metu gali būti skiriamos priemokos, jei pavaduojančiajam darbuotojui žymiai padidėja darbo krūvis ir jei pavadavimas nėra numatytas pareigybės aprašyme.</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Pasikeitus aplinkybėms, dėl kurių buvo nustatyta priemoka, Įstaigos direktoriaus įsakymu priemokos dydis ir (ar) mokėjimo terminas gali būti pakeistas arba mokėjimas nutrauktas. Apie pasikeitusias aplinkybes darbuotoją informuoja tiesioginis darbuotojo vadovas.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Kai pablogėja darbuotojo, kuriam nustatyta priemoka, darbo rezultatai arba jis neatlieka pavestų užduočių (darbų, funkcijų), priemoka </w:t>
      </w:r>
      <w:r>
        <w:rPr>
          <w:color w:val="000000"/>
          <w:sz w:val="22"/>
          <w:szCs w:val="22"/>
          <w:highlight w:val="white"/>
        </w:rPr>
        <w:t xml:space="preserve">Įstaigos direktoriaus įsakymu </w:t>
      </w:r>
      <w:r>
        <w:rPr>
          <w:color w:val="000000"/>
          <w:sz w:val="22"/>
          <w:szCs w:val="22"/>
        </w:rPr>
        <w:t xml:space="preserve">panaikinama arba sumažinama. </w:t>
      </w:r>
      <w:r>
        <w:rPr>
          <w:color w:val="000000"/>
          <w:sz w:val="22"/>
          <w:szCs w:val="22"/>
          <w:highlight w:val="white"/>
        </w:rPr>
        <w:t>U</w:t>
      </w:r>
      <w:r>
        <w:rPr>
          <w:color w:val="000000"/>
          <w:sz w:val="22"/>
          <w:szCs w:val="22"/>
        </w:rPr>
        <w:t>ž darbuotojams pavestų papildomų funkcijų ar užduočių vykdymo, pavadavimo kontrolę atsakingas atitinkamo darbuotojo tiesioginis vadovas, kuris, jeigu pablogėja tų darbuotojų darbo rezultatai arba jie nevykdo pavestų papildomų funkcijų, užduočių ar pavadavimo, Įstaigos direktoriui teikia motyvuotą siūlymą dėl priemokų sumažinimo arba mokėjimo nutraukimo.</w:t>
      </w:r>
    </w:p>
    <w:p w:rsidR="005B6508" w:rsidRDefault="005B6508">
      <w:pPr>
        <w:widowControl w:val="0"/>
        <w:pBdr>
          <w:top w:val="nil"/>
          <w:left w:val="nil"/>
          <w:bottom w:val="nil"/>
          <w:right w:val="nil"/>
          <w:between w:val="nil"/>
        </w:pBdr>
        <w:tabs>
          <w:tab w:val="left" w:pos="1260"/>
        </w:tabs>
        <w:spacing w:after="80"/>
        <w:ind w:firstLine="720"/>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DARBUOTOJŲ SKATINIMAS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Įstaigos darbuotojai gali būti skatinami šiomis skatinimo priemonėmis: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padėka;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nuo 1 iki 2 pareiginių algų dydžio pinigine išmoka už asmeninį išskirtinį indėlį įgyvendinant Įstaigos nustatytus tikslus arba pasiektus rezultatus ir įgyvendintus uždavinius (tačiau ne dažniau kaip du kartus per kalendorinius metus);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 xml:space="preserve">suteikiant iki 5 mokamų papildomų poilsio dienų (tačiau ne daugiau kaip 10 mokamų papildomų </w:t>
      </w:r>
      <w:r>
        <w:rPr>
          <w:color w:val="000000"/>
          <w:sz w:val="22"/>
          <w:szCs w:val="22"/>
        </w:rPr>
        <w:lastRenderedPageBreak/>
        <w:t>poilsio dienų per metus) arba atitinkamai sutrumpinant darbo laiką;</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vienkartine pinigine išmoka Vyriausybės nustatyta tvarka (Lietuvos Respublikos Vyriausybės   2002 m. liepos 19 d. Nr. 1167 nutarimu patvirtintas Vienkartinių piniginių išmokų valstybės tarnautojams ir biudžetinių įstaigų darbuotojams, dirbantiems pagal darbo sutartis, skyrimo tvarkos aprašas);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finansuojant kvalifikacijos tobulinimą ne didesne kaip darbuotojo vienos pareiginės algos dydžio suma per metus.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7" w:name="_heading=h.3j2qqm3" w:colFirst="0" w:colLast="0"/>
      <w:bookmarkEnd w:id="17"/>
      <w:r>
        <w:rPr>
          <w:color w:val="000000"/>
          <w:sz w:val="22"/>
          <w:szCs w:val="22"/>
        </w:rPr>
        <w:t>Finansinės skatinimo priemonės taikomos tik esant pakankamam Įstaigos turimų darbo užmokesčiui skirtų lėšų biudžetui. Biudžete trūkstant lėšų skiriamos galimos išmokos dydis proporcingai sumažinamas, išlaikant Apraše nustatytų išmokos ribinių dydžių proporcijas.</w:t>
      </w:r>
    </w:p>
    <w:p w:rsidR="005B6508" w:rsidRPr="003672AA"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8" w:name="_heading=h.1y810tw" w:colFirst="0" w:colLast="0"/>
      <w:bookmarkEnd w:id="18"/>
      <w:r w:rsidRPr="003672AA">
        <w:rPr>
          <w:color w:val="000000"/>
          <w:sz w:val="22"/>
          <w:szCs w:val="22"/>
        </w:rPr>
        <w:t>Piniginės išmokos gali būti mokamos įvertinus per kalendorinius metus sutaupytą Įstaigai darbo užmokesčiui skirtų lėšų biudžetą ir gali būti išmokamos ne anksčiau kaip einamųjų metų ketvirtąjį ketvirtį (lapkričio – gruodžio mėnesiais).</w:t>
      </w:r>
    </w:p>
    <w:p w:rsidR="005B6508" w:rsidRPr="003672AA"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19" w:name="_heading=h.4i7ojhp" w:colFirst="0" w:colLast="0"/>
      <w:bookmarkEnd w:id="19"/>
      <w:r w:rsidRPr="003672AA">
        <w:rPr>
          <w:color w:val="000000"/>
          <w:sz w:val="22"/>
          <w:szCs w:val="22"/>
        </w:rPr>
        <w:t>Vienkartinė pinigine išmoka Vyriausybės nustatyta tvarka gali būti mokama tik įvertinus darbuotojo veiklą kaip viršijančią lūkesčius. Šiuo atveju vienkartinė piniginė iki 100 procentų pareiginės algos dydžio išmoka turi būti nurodyta tiesioginio vadovo motyvuotame pasiūlyme darbuotojo veiklos vertinimo metu. Tokios vienkartinės piniginės išmokos gali būti išmokamos tik esant pakankamam Įstaigos turimų darbo užmokesčiui skirtų lėšų biudžetui) ir ne anksčiau kaip einamųjų metų antrąjį ketvirtį (balandžio mėnesį). Biudžete trūkstant lėšų skiriamos galimos priemokos dydis proporcingai sumažinamas, išlaikant tiesioginių vadovų motyvuotame pasiūlyme nurodytų priemokų dydžių proporcijas.</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tabs>
          <w:tab w:val="left" w:pos="0"/>
          <w:tab w:val="left" w:pos="709"/>
          <w:tab w:val="left" w:pos="851"/>
          <w:tab w:val="left" w:pos="993"/>
          <w:tab w:val="left" w:pos="1134"/>
          <w:tab w:val="left" w:pos="1701"/>
        </w:tabs>
        <w:spacing w:after="80"/>
        <w:jc w:val="center"/>
        <w:rPr>
          <w:color w:val="000000"/>
          <w:sz w:val="22"/>
          <w:szCs w:val="22"/>
        </w:rPr>
      </w:pPr>
      <w:r>
        <w:rPr>
          <w:b/>
          <w:color w:val="000000"/>
          <w:sz w:val="22"/>
          <w:szCs w:val="22"/>
        </w:rPr>
        <w:t>MATERIALINIŲ PAŠALPŲ MOKĖJIMAS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20" w:name="_heading=h.2xcytpi" w:colFirst="0" w:colLast="0"/>
      <w:bookmarkEnd w:id="20"/>
      <w:r>
        <w:rPr>
          <w:color w:val="000000"/>
          <w:sz w:val="22"/>
          <w:szCs w:val="22"/>
        </w:rPr>
        <w:t>Darbuotojams, kurių materialinė būklė tapo sunki dėl jų pačių ligos, artimų giminaičių, sutuoktinio, partnerio, sugyventinio, jo tėvų, vaikų (įvaikių), brolių (įbrolių) ir seserų (įseserių), taip pat išlaikytinių, kurių globėjais ar rūpintojais įstatymų nustatyta tvarka yra paskirti darbuotojai, mirties, stichinės nelaimės ar turto netekimo, jeigu yra rašytinis prašymas ir pateikti atitinkamą aplinkybę patvirtinantys dokumentai ir jei nėra viršijamas atitinkamai Įstaigai darbo užmokesčiui skirtį lėšų biudžetas, gali būti skiriamos tokios materialinės pašalpos:</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mirus darbuotojui – iki 2 minimalių mėnesinių algų dydžio;</w:t>
      </w:r>
      <w:r>
        <w:rPr>
          <w:color w:val="000000"/>
          <w:sz w:val="22"/>
          <w:szCs w:val="22"/>
        </w:rPr>
        <w:tab/>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mirus darbuotojo šeimos nariui – iki 2 minimalių mėnesinių algų dydžio;</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sunkiai sergant darbuotojui (jei susirgimas yra įtrauktas į Sunkių ligų sąrašą, patvirtintą Lietuvos Respublikos sveikatos apsaugos ministro 2003 m. gruodžio 31 d. įsakymu Nr. V-800 „Dėl Sunkių ligų sąrašo patvirtinimo“, ir darbuotojo nedarbingumas nepertraukiamai tęsiasi ilgiau kaip 3 mėnesius) – iki 2 minimalių mėnesinių algų dydžio;</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stichinės nelaimės ar turto netekimo atve</w:t>
      </w:r>
      <w:bookmarkStart w:id="21" w:name="bookmark=id.1ci93xb" w:colFirst="0" w:colLast="0"/>
      <w:bookmarkEnd w:id="21"/>
      <w:r>
        <w:rPr>
          <w:color w:val="000000"/>
          <w:sz w:val="22"/>
          <w:szCs w:val="22"/>
        </w:rPr>
        <w:t>ju – iki 2 minimalių mėnesinių algų dydžio.</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Mirus darbuotojui, materialinė pašalpa pervedama jo šeimos nariui, pateikusiam prašymą dėl materialinės pašalpos išmokėjimo ir mirt</w:t>
      </w:r>
      <w:bookmarkStart w:id="22" w:name="bookmark=id.3whwml4" w:colFirst="0" w:colLast="0"/>
      <w:bookmarkEnd w:id="22"/>
      <w:r>
        <w:rPr>
          <w:color w:val="000000"/>
          <w:sz w:val="22"/>
          <w:szCs w:val="22"/>
        </w:rPr>
        <w:t>ies faktą patvirtinantį dokumentą, į jo nurodytą banko sąskaitą.</w:t>
      </w:r>
    </w:p>
    <w:p w:rsidR="005B6508" w:rsidRDefault="005B6508">
      <w:pPr>
        <w:pBdr>
          <w:top w:val="nil"/>
          <w:left w:val="nil"/>
          <w:bottom w:val="nil"/>
          <w:right w:val="nil"/>
          <w:between w:val="nil"/>
        </w:pBdr>
        <w:spacing w:after="80"/>
        <w:ind w:firstLine="720"/>
        <w:jc w:val="center"/>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PAREIGINĖS ALGOS NUSTATYMAS, ATLIKUS VEIKLOS VERTINIMĄ</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Darbuotojų (išskyrus mokytojus, pagalbos mokiniui specialistus ir darbininkus) 2023 metų veiklos vertinimas bus atliekamas pagal tvarką, nustatytą iki šio Aprašo įsigaliojimo datos. Nustatyta tvarka paskirta kintamoji dalis, kaip privaloma darbo užmokesčio sudėtinė dalis, galioja iki 2024 metų biudžetinės įstaigos darbuotojų kasmetinio veiklos vertinimo metu priimto sprendimo įsigaliojimo dienos. 2023 m. veiklos vertinimas atliekamas vadovaujantis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Kai 2024 metų ir vėlesnių metų darbuotojo veikla įvertinama kaip viršijanti lūkesčius, tiesioginio vadovo rašytiniu motyvuotu pasiūlymu Įstaigos direktoriaus sprendimu darbuotojui gali būti:</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 xml:space="preserve">nustatomas didesnis pareiginės algos koeficientas, taikant ne mažiau kaip 0,06 didesnį pareiginės </w:t>
      </w:r>
      <w:r>
        <w:rPr>
          <w:color w:val="000000"/>
          <w:sz w:val="22"/>
          <w:szCs w:val="22"/>
        </w:rPr>
        <w:lastRenderedPageBreak/>
        <w:t>algos koeficientą, tačiau ne didesnį negu tai pareigybei nustatytas didžiausias pareiginės algos koeficientas, jei to darbuotojo veikla 3 metus iš eilės įvertinama kaip viršijanti lūkesčius, išskyrus atvejus, kai darbuotojui nustatytas maksimalus pareiginės algos koeficientas pagal Aprašą , arba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 xml:space="preserve">taikomos Aprašo </w:t>
      </w:r>
      <w:r>
        <w:rPr>
          <w:color w:val="0070C0"/>
          <w:sz w:val="22"/>
          <w:szCs w:val="22"/>
        </w:rPr>
        <w:t>VII skyriuje</w:t>
      </w:r>
      <w:r>
        <w:rPr>
          <w:color w:val="000000"/>
          <w:sz w:val="22"/>
          <w:szCs w:val="22"/>
        </w:rPr>
        <w:t xml:space="preserve"> nustatytos skatinimo priemonės, </w:t>
      </w:r>
      <w:r>
        <w:rPr>
          <w:sz w:val="22"/>
          <w:szCs w:val="22"/>
        </w:rPr>
        <w:t>arba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sz w:val="22"/>
          <w:szCs w:val="22"/>
        </w:rPr>
      </w:pPr>
      <w:r>
        <w:rPr>
          <w:sz w:val="22"/>
          <w:szCs w:val="22"/>
        </w:rPr>
        <w:t>skiriamas pareiginės algos kintamosios dalies dydis nuo 10 iki 15 proc., arba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perkeliamas į aukštesnes pareigas toje pačioje Įstaigoje, jeigu jis atitinka šiai pareigybei keliamus reikalavimus ir jeigu toks perkėlimas neprieštarauja Lietuvos Respublikos viešųjų ir privačių interesų derinimo įstatymo 23 straipsniui (darbuotojas gali būti perkeliamas į pareigas, dėl kurių turi būti rengiamas konkursas, tik jeigu tai atitinka Vyriausybės tvirtinamame pareigybių, dėl kurių rengiamas konkursas, sąraše nurodytas sąlygas).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Kai 2024 metų ir vėlesnių metų darbuotojo veikla įvertinama kaip neatitinkanti lūkesčių, tiesioginio vadovo rašytiniu motyvuotu pasiūlymu Įstaigos direktoriaus sprendimu gali būti:</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darbuotojui, atsižvelgiant į Aprašo nuostatas, nustatomas mažesnis pareiginės algos koeficientas, taikant ne mažiau kaip 0,06 ir ne daugiau kaip 0,18 mažesnį pareiginės algos koeficientą, tačiau ne mažesnį, negu nustatytas tos pareigybės minimalus pareiginės algos koeficientas, o pavaduotojui ugdymui, ugdymą organizuojančio skyriaus vedėjui, kurių darbas laikomas pedagoginiu, taikant 0,1 mažesnį pareiginės algos koeficientą, arba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darbuotojas perkeliamas į žemesnes pareigas toje pačioje Įstaigoje, jeigu tai neprieštarauja Viešųjų ir privačių interesų derinimo įstatymo 23 straipsniui (biudžetinės įstaigos darbuotojas gali būti perkeliamas į pareigas, dėl kurių turi būti rengiamas konkursas, tik jeigu tai atitinka Vyriausybės tvirtinamame pareigybių, dėl kurių rengiamas konkursas, sąraše nurodytas sąlygas) arba</w:t>
      </w:r>
    </w:p>
    <w:p w:rsidR="005B6508" w:rsidRDefault="00AA030E">
      <w:pPr>
        <w:widowControl w:val="0"/>
        <w:numPr>
          <w:ilvl w:val="1"/>
          <w:numId w:val="3"/>
        </w:numPr>
        <w:pBdr>
          <w:top w:val="nil"/>
          <w:left w:val="nil"/>
          <w:bottom w:val="nil"/>
          <w:right w:val="nil"/>
          <w:between w:val="nil"/>
        </w:pBdr>
        <w:tabs>
          <w:tab w:val="left" w:pos="1260"/>
          <w:tab w:val="left" w:pos="1560"/>
        </w:tabs>
        <w:spacing w:after="80"/>
        <w:ind w:left="0" w:firstLine="851"/>
        <w:jc w:val="both"/>
        <w:rPr>
          <w:color w:val="000000"/>
          <w:sz w:val="22"/>
          <w:szCs w:val="22"/>
        </w:rPr>
      </w:pPr>
      <w:r>
        <w:rPr>
          <w:color w:val="000000"/>
          <w:sz w:val="22"/>
          <w:szCs w:val="22"/>
        </w:rPr>
        <w:t>darbuotojui sudaromas ne trumpesnės negu 2 mėnesių ir ne ilgesnės negu 6 mėnesių trukmės darbuotojo veiklos gerinimo planas. Jeigu, pasibaigus darbuotojo veiklos gerinimo plano terminui, Įstaigos darbuotojo veikla neeilinio vertinimo metu įvertinama kaip neatitinkanti lūkesčių, Įstaigos darbuotojas gali būti atleidžiamas iš pareigų.</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Kai 2024 metų ir vėlesnių metų darbuotojo veikla įvertinama kaip atitinkanti lūkesčius, jo teisinė padėtis nesikeičia.</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Kai 2024 metų ir vėlesnių metų darbuotojo veikla įvertinama kaip iš dalies atitinkanti lūkesčius, jo teisinė padėtis nesikeičia, tačiau darbuotojui nustatomas privalomas kvalifikacijos tobulinimas.</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pBdr>
          <w:top w:val="nil"/>
          <w:left w:val="nil"/>
          <w:bottom w:val="nil"/>
          <w:right w:val="nil"/>
          <w:between w:val="nil"/>
        </w:pBdr>
        <w:spacing w:after="80"/>
        <w:ind w:right="49"/>
        <w:jc w:val="center"/>
        <w:rPr>
          <w:color w:val="000000"/>
          <w:sz w:val="22"/>
          <w:szCs w:val="22"/>
        </w:rPr>
      </w:pPr>
      <w:r>
        <w:rPr>
          <w:b/>
          <w:color w:val="000000"/>
          <w:sz w:val="22"/>
          <w:szCs w:val="22"/>
        </w:rPr>
        <w:t>MOKĖJIMAS UŽ DARBĄ POILSIO IR ŠVENČIŲ DIENOMIS, NAKTIES IR VIRŠVALANDINĮ DARBĄ</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Už darbą poilsio dieną, kuri nenustatyta pagal darbo (pamainos) grafiką, mokamas dvigubas darbuotojo darbo užmokestis.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Už darbą švenčių dieną mokamas dvigubas darbuotojo darbo užmokestis.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Už darbą naktį mokamas pusantro darbuotojo darbo užmokesčio dydžio užmokestis.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Už viršvalandinį darbą mokamas du su puse darbuotojo darbo užmokesčio dydžio užmokestis.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Už viršvalandinį darbą poilsio dieną, kuri nenustatyta pagal darbo (pamainos) grafiką, ar viršvalandinį darbą naktį mokamas dvigubas darbuotojo darbo užmokestis, o už viršvalandinį darbą švenčių dieną – du su puse darbuotojo darbo užmokesčio dydžio užmokestis.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Darbo kodekso nustatyta tvarka, darbuotojo prašymu, darbo poilsio ar švenčių dienomis laikas ar viršvalandinio darbo laikas, padauginti iš šiame skyriuje nustatyto atitinkamo dydžio, gali būti pridedami prie kasmetinių atostogų laiko.</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bookmarkStart w:id="23" w:name="_heading=h.2bn6wsx" w:colFirst="0" w:colLast="0"/>
      <w:bookmarkEnd w:id="23"/>
      <w:r>
        <w:rPr>
          <w:color w:val="000000"/>
          <w:sz w:val="22"/>
          <w:szCs w:val="22"/>
        </w:rPr>
        <w:t>Darbuotojo savavališkai (nesant Įstaigos rašytiniam pavedimui) kitu laiku atliekamas darbas viršijant nustatytą darbo laiką, taip pat poilsio ar švenčių dieną nėra laikomas viršvalandiniu darbu arba darbu poilsio ar švenčių dieną ir už jį nėra apmokama.</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222222"/>
          <w:sz w:val="22"/>
          <w:szCs w:val="22"/>
        </w:rPr>
        <w:t>Už kelionės laiką komandiruotės metu apmokama viengubu tarifu už faktiškai dirbtas valandas. Jei kelionė vyko po darbo dienos valandų, poilsio ar švenčių dieną, papildomai priklauso poilsio diena artimiausią darbo dieną iš karto po kelionės arba ši diena pridedama prie kasmetinių atostogų, už šią dieną paliekant darbo užmokestį.</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 xml:space="preserve">Komandiruotės metu darbuotojas turi dirbti įprastu darbo laiko režimu, jeigu Įstaigos direktorius nėra </w:t>
      </w:r>
      <w:r>
        <w:rPr>
          <w:color w:val="000000"/>
          <w:sz w:val="22"/>
          <w:szCs w:val="22"/>
        </w:rPr>
        <w:lastRenderedPageBreak/>
        <w:t>nustatęs kitokių įpareigojimų.</w:t>
      </w:r>
    </w:p>
    <w:p w:rsidR="005B6508" w:rsidRDefault="005B6508">
      <w:pPr>
        <w:widowControl w:val="0"/>
        <w:pBdr>
          <w:top w:val="nil"/>
          <w:left w:val="nil"/>
          <w:bottom w:val="nil"/>
          <w:right w:val="nil"/>
          <w:between w:val="nil"/>
        </w:pBdr>
        <w:tabs>
          <w:tab w:val="left" w:pos="1260"/>
        </w:tabs>
        <w:spacing w:after="80"/>
        <w:ind w:left="491"/>
        <w:jc w:val="both"/>
        <w:rPr>
          <w:color w:val="000000"/>
          <w:sz w:val="22"/>
          <w:szCs w:val="22"/>
        </w:rPr>
      </w:pPr>
    </w:p>
    <w:p w:rsidR="005B6508" w:rsidRDefault="00AA030E">
      <w:pPr>
        <w:numPr>
          <w:ilvl w:val="0"/>
          <w:numId w:val="1"/>
        </w:numPr>
        <w:pBdr>
          <w:top w:val="nil"/>
          <w:left w:val="nil"/>
          <w:bottom w:val="nil"/>
          <w:right w:val="nil"/>
          <w:between w:val="nil"/>
        </w:pBdr>
        <w:ind w:left="714" w:hanging="357"/>
        <w:jc w:val="center"/>
        <w:rPr>
          <w:color w:val="000000"/>
          <w:sz w:val="22"/>
          <w:szCs w:val="22"/>
        </w:rPr>
      </w:pPr>
      <w:r>
        <w:rPr>
          <w:b/>
          <w:color w:val="000000"/>
          <w:sz w:val="22"/>
          <w:szCs w:val="22"/>
        </w:rPr>
        <w:t>SKYRIUS</w:t>
      </w:r>
    </w:p>
    <w:p w:rsidR="005B6508" w:rsidRDefault="00AA030E">
      <w:pPr>
        <w:widowControl w:val="0"/>
        <w:pBdr>
          <w:top w:val="nil"/>
          <w:left w:val="nil"/>
          <w:bottom w:val="nil"/>
          <w:right w:val="nil"/>
          <w:between w:val="nil"/>
        </w:pBdr>
        <w:spacing w:after="80"/>
        <w:jc w:val="center"/>
        <w:rPr>
          <w:color w:val="000000"/>
          <w:sz w:val="22"/>
          <w:szCs w:val="22"/>
        </w:rPr>
      </w:pPr>
      <w:r>
        <w:rPr>
          <w:b/>
          <w:color w:val="000000"/>
          <w:sz w:val="22"/>
          <w:szCs w:val="22"/>
        </w:rPr>
        <w:t>BAIGIAMOSIOS NUOSTATOS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Šis Aprašas peržiūrimas pasikeitus teisės aktams arba esant kitiems aktualiems darbo apmokėjimo sistemos pokyčiams.</w:t>
      </w:r>
    </w:p>
    <w:p w:rsidR="005B6508" w:rsidRDefault="00AA030E">
      <w:pPr>
        <w:widowControl w:val="0"/>
        <w:numPr>
          <w:ilvl w:val="0"/>
          <w:numId w:val="3"/>
        </w:numPr>
        <w:pBdr>
          <w:top w:val="nil"/>
          <w:left w:val="nil"/>
          <w:bottom w:val="nil"/>
          <w:right w:val="nil"/>
          <w:between w:val="nil"/>
        </w:pBdr>
        <w:tabs>
          <w:tab w:val="left" w:pos="1260"/>
        </w:tabs>
        <w:spacing w:after="80"/>
        <w:ind w:left="0" w:firstLine="851"/>
        <w:jc w:val="both"/>
        <w:rPr>
          <w:color w:val="000000"/>
          <w:sz w:val="22"/>
          <w:szCs w:val="22"/>
        </w:rPr>
      </w:pPr>
      <w:r>
        <w:rPr>
          <w:color w:val="000000"/>
          <w:sz w:val="22"/>
          <w:szCs w:val="22"/>
        </w:rPr>
        <w:t>Įstaiga turi teisę iš dalies arba visiškai pakeisti šį Aprašą ir jos priedus. Prieš nustatant ar keičiant darbo apmokėjimo sistemą turi būti įvykdytos informavimo ir konsultavimo procedūros Darbo kodekso nustatyta tvarka.</w:t>
      </w:r>
    </w:p>
    <w:p w:rsidR="005B6508" w:rsidRDefault="00AA030E">
      <w:pPr>
        <w:widowControl w:val="0"/>
        <w:pBdr>
          <w:top w:val="nil"/>
          <w:left w:val="nil"/>
          <w:bottom w:val="nil"/>
          <w:right w:val="nil"/>
          <w:between w:val="nil"/>
        </w:pBdr>
        <w:tabs>
          <w:tab w:val="left" w:pos="1260"/>
        </w:tabs>
        <w:spacing w:after="80"/>
        <w:jc w:val="center"/>
        <w:rPr>
          <w:color w:val="000000"/>
          <w:sz w:val="22"/>
          <w:szCs w:val="22"/>
        </w:rPr>
      </w:pPr>
      <w:r>
        <w:rPr>
          <w:color w:val="000000"/>
          <w:sz w:val="22"/>
          <w:szCs w:val="22"/>
        </w:rPr>
        <w:t xml:space="preserve"> ______________</w:t>
      </w:r>
    </w:p>
    <w:p w:rsidR="005B6508" w:rsidRDefault="005B6508">
      <w:pPr>
        <w:widowControl w:val="0"/>
        <w:pBdr>
          <w:top w:val="nil"/>
          <w:left w:val="nil"/>
          <w:bottom w:val="nil"/>
          <w:right w:val="nil"/>
          <w:between w:val="nil"/>
        </w:pBdr>
        <w:spacing w:after="80"/>
        <w:jc w:val="center"/>
        <w:rPr>
          <w:color w:val="000000"/>
          <w:sz w:val="22"/>
          <w:szCs w:val="22"/>
        </w:rPr>
      </w:pPr>
    </w:p>
    <w:p w:rsidR="005B6508" w:rsidRDefault="00AA030E">
      <w:pPr>
        <w:widowControl w:val="0"/>
        <w:pBdr>
          <w:top w:val="nil"/>
          <w:left w:val="nil"/>
          <w:bottom w:val="nil"/>
          <w:right w:val="nil"/>
          <w:between w:val="nil"/>
        </w:pBdr>
        <w:spacing w:after="80"/>
        <w:jc w:val="center"/>
        <w:rPr>
          <w:color w:val="000000"/>
          <w:sz w:val="22"/>
          <w:szCs w:val="22"/>
        </w:rPr>
      </w:pPr>
      <w:bookmarkStart w:id="24" w:name="_heading=h.qsh70q" w:colFirst="0" w:colLast="0"/>
      <w:bookmarkEnd w:id="24"/>
      <w:r>
        <w:br w:type="page"/>
      </w:r>
    </w:p>
    <w:tbl>
      <w:tblPr>
        <w:tblStyle w:val="a"/>
        <w:tblW w:w="10281" w:type="dxa"/>
        <w:tblInd w:w="-108" w:type="dxa"/>
        <w:tblLayout w:type="fixed"/>
        <w:tblLook w:val="0000" w:firstRow="0" w:lastRow="0" w:firstColumn="0" w:lastColumn="0" w:noHBand="0" w:noVBand="0"/>
      </w:tblPr>
      <w:tblGrid>
        <w:gridCol w:w="5140"/>
        <w:gridCol w:w="5141"/>
      </w:tblGrid>
      <w:tr w:rsidR="005B6508">
        <w:tc>
          <w:tcPr>
            <w:tcW w:w="5140" w:type="dxa"/>
          </w:tcPr>
          <w:p w:rsidR="005B6508" w:rsidRDefault="005B6508">
            <w:pPr>
              <w:widowControl w:val="0"/>
              <w:pBdr>
                <w:top w:val="nil"/>
                <w:left w:val="nil"/>
                <w:bottom w:val="nil"/>
                <w:right w:val="nil"/>
                <w:between w:val="nil"/>
              </w:pBdr>
              <w:spacing w:after="80"/>
              <w:jc w:val="center"/>
              <w:rPr>
                <w:color w:val="000000"/>
                <w:sz w:val="22"/>
                <w:szCs w:val="22"/>
              </w:rPr>
            </w:pPr>
          </w:p>
        </w:tc>
        <w:tc>
          <w:tcPr>
            <w:tcW w:w="5141" w:type="dxa"/>
          </w:tcPr>
          <w:p w:rsidR="005B6508" w:rsidRPr="00551454" w:rsidRDefault="00551454">
            <w:pPr>
              <w:pBdr>
                <w:top w:val="nil"/>
                <w:left w:val="nil"/>
                <w:bottom w:val="nil"/>
                <w:right w:val="nil"/>
                <w:between w:val="nil"/>
              </w:pBdr>
              <w:spacing w:after="80"/>
              <w:jc w:val="center"/>
              <w:rPr>
                <w:sz w:val="22"/>
                <w:szCs w:val="22"/>
              </w:rPr>
            </w:pPr>
            <w:r w:rsidRPr="00551454">
              <w:rPr>
                <w:b/>
                <w:sz w:val="22"/>
                <w:szCs w:val="22"/>
              </w:rPr>
              <w:t>VILNIAUS R. MICKŪNŲ VAIKŲ LOPŠELIO-DARŽELIO</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DARBO APMOKĖJIMO SISTEMOS APRAŠO</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1 priedas</w:t>
            </w:r>
          </w:p>
        </w:tc>
      </w:tr>
    </w:tbl>
    <w:p w:rsidR="005B6508" w:rsidRDefault="005B6508">
      <w:pPr>
        <w:widowControl w:val="0"/>
        <w:pBdr>
          <w:top w:val="nil"/>
          <w:left w:val="nil"/>
          <w:bottom w:val="nil"/>
          <w:right w:val="nil"/>
          <w:between w:val="nil"/>
        </w:pBdr>
        <w:spacing w:after="80"/>
        <w:jc w:val="center"/>
        <w:rPr>
          <w:color w:val="000000"/>
          <w:sz w:val="22"/>
          <w:szCs w:val="22"/>
        </w:rPr>
      </w:pPr>
    </w:p>
    <w:p w:rsidR="005B6508" w:rsidRDefault="00AA030E">
      <w:pPr>
        <w:pBdr>
          <w:top w:val="nil"/>
          <w:left w:val="nil"/>
          <w:bottom w:val="nil"/>
          <w:right w:val="nil"/>
          <w:between w:val="nil"/>
        </w:pBdr>
        <w:ind w:left="720" w:firstLine="720"/>
        <w:rPr>
          <w:color w:val="000000"/>
        </w:rPr>
      </w:pPr>
      <w:r>
        <w:rPr>
          <w:b/>
          <w:sz w:val="22"/>
          <w:szCs w:val="22"/>
        </w:rPr>
        <w:t xml:space="preserve">Pareiginės algos pastoviosios dalies koeficientai BD dydžiais nuo 2024 m. sausio 1 d. </w:t>
      </w:r>
      <w:r>
        <w:rPr>
          <w:b/>
          <w:sz w:val="22"/>
          <w:szCs w:val="22"/>
        </w:rPr>
        <w:tab/>
      </w:r>
      <w:r>
        <w:rPr>
          <w:b/>
          <w:sz w:val="22"/>
          <w:szCs w:val="22"/>
        </w:rPr>
        <w:tab/>
      </w:r>
    </w:p>
    <w:p w:rsidR="005B6508" w:rsidRDefault="005B6508">
      <w:pPr>
        <w:pBdr>
          <w:top w:val="nil"/>
          <w:left w:val="nil"/>
          <w:bottom w:val="nil"/>
          <w:right w:val="nil"/>
          <w:between w:val="nil"/>
        </w:pBdr>
        <w:ind w:firstLine="720"/>
        <w:jc w:val="center"/>
        <w:rPr>
          <w:color w:val="000000"/>
        </w:rPr>
      </w:pPr>
    </w:p>
    <w:p w:rsidR="005B6508" w:rsidRDefault="005B6508">
      <w:pPr>
        <w:tabs>
          <w:tab w:val="left" w:pos="485"/>
        </w:tabs>
        <w:ind w:right="-755" w:firstLine="720"/>
        <w:rPr>
          <w:rFonts w:ascii="Arial" w:eastAsia="Arial" w:hAnsi="Arial" w:cs="Arial"/>
        </w:rPr>
      </w:pPr>
    </w:p>
    <w:tbl>
      <w:tblPr>
        <w:tblStyle w:val="a0"/>
        <w:tblpPr w:leftFromText="180" w:rightFromText="180" w:topFromText="180" w:bottomFromText="180" w:vertAnchor="text" w:tblpX="-114" w:tblpY="1"/>
        <w:tblW w:w="10035" w:type="dxa"/>
        <w:tblLayout w:type="fixed"/>
        <w:tblLook w:val="0000" w:firstRow="0" w:lastRow="0" w:firstColumn="0" w:lastColumn="0" w:noHBand="0" w:noVBand="0"/>
      </w:tblPr>
      <w:tblGrid>
        <w:gridCol w:w="525"/>
        <w:gridCol w:w="4125"/>
        <w:gridCol w:w="1305"/>
        <w:gridCol w:w="1950"/>
        <w:gridCol w:w="2130"/>
      </w:tblGrid>
      <w:tr w:rsidR="005B6508">
        <w:trPr>
          <w:trHeight w:val="288"/>
        </w:trPr>
        <w:tc>
          <w:tcPr>
            <w:tcW w:w="525" w:type="dxa"/>
            <w:tcMar>
              <w:top w:w="0" w:type="dxa"/>
              <w:left w:w="108" w:type="dxa"/>
              <w:bottom w:w="0" w:type="dxa"/>
              <w:right w:w="108" w:type="dxa"/>
            </w:tcMar>
          </w:tcPr>
          <w:p w:rsidR="005B6508" w:rsidRDefault="005B6508">
            <w:pPr>
              <w:ind w:firstLine="720"/>
              <w:rPr>
                <w:color w:val="0070C0"/>
                <w:sz w:val="22"/>
                <w:szCs w:val="22"/>
              </w:rPr>
            </w:pPr>
          </w:p>
        </w:tc>
        <w:tc>
          <w:tcPr>
            <w:tcW w:w="9510" w:type="dxa"/>
            <w:gridSpan w:val="4"/>
            <w:tcMar>
              <w:top w:w="0" w:type="dxa"/>
              <w:left w:w="108" w:type="dxa"/>
              <w:bottom w:w="0" w:type="dxa"/>
              <w:right w:w="108" w:type="dxa"/>
            </w:tcMar>
          </w:tcPr>
          <w:p w:rsidR="005B6508" w:rsidRDefault="005B6508">
            <w:pPr>
              <w:ind w:firstLine="720"/>
              <w:jc w:val="center"/>
              <w:rPr>
                <w:color w:val="0070C0"/>
                <w:sz w:val="22"/>
                <w:szCs w:val="22"/>
              </w:rPr>
            </w:pPr>
          </w:p>
        </w:tc>
      </w:tr>
      <w:tr w:rsidR="005B6508">
        <w:trPr>
          <w:trHeight w:val="288"/>
        </w:trPr>
        <w:tc>
          <w:tcPr>
            <w:tcW w:w="525" w:type="dxa"/>
            <w:vMerge w:val="restart"/>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5B6508" w:rsidRDefault="00AA030E">
            <w:pPr>
              <w:widowControl w:val="0"/>
              <w:spacing w:line="276" w:lineRule="auto"/>
              <w:jc w:val="center"/>
            </w:pPr>
            <w:r>
              <w:t>Eil. Nr.</w:t>
            </w:r>
          </w:p>
        </w:tc>
        <w:tc>
          <w:tcPr>
            <w:tcW w:w="4125" w:type="dxa"/>
            <w:vMerge w:val="restart"/>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rsidR="005B6508" w:rsidRDefault="00AA030E">
            <w:pPr>
              <w:widowControl w:val="0"/>
              <w:spacing w:line="276" w:lineRule="auto"/>
              <w:jc w:val="center"/>
            </w:pPr>
            <w:r>
              <w:t>Pareigybės</w:t>
            </w:r>
          </w:p>
        </w:tc>
        <w:tc>
          <w:tcPr>
            <w:tcW w:w="1305" w:type="dxa"/>
            <w:vMerge w:val="restart"/>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rsidR="005B6508" w:rsidRDefault="00AA030E">
            <w:pPr>
              <w:widowControl w:val="0"/>
              <w:spacing w:line="276" w:lineRule="auto"/>
              <w:jc w:val="center"/>
            </w:pPr>
            <w:r>
              <w:t>BD dydžiais BD=1785,4 Eur</w:t>
            </w:r>
          </w:p>
        </w:tc>
        <w:tc>
          <w:tcPr>
            <w:tcW w:w="1950" w:type="dxa"/>
            <w:tcMar>
              <w:top w:w="0" w:type="dxa"/>
              <w:left w:w="108" w:type="dxa"/>
              <w:bottom w:w="0" w:type="dxa"/>
              <w:right w:w="108" w:type="dxa"/>
            </w:tcMar>
          </w:tcPr>
          <w:p w:rsidR="005B6508" w:rsidRDefault="005B6508">
            <w:pPr>
              <w:widowControl w:val="0"/>
              <w:spacing w:line="276" w:lineRule="auto"/>
              <w:rPr>
                <w:color w:val="0070C0"/>
                <w:sz w:val="22"/>
                <w:szCs w:val="22"/>
              </w:rPr>
            </w:pPr>
          </w:p>
        </w:tc>
        <w:tc>
          <w:tcPr>
            <w:tcW w:w="2130" w:type="dxa"/>
            <w:tcMar>
              <w:top w:w="0" w:type="dxa"/>
              <w:left w:w="108" w:type="dxa"/>
              <w:bottom w:w="0" w:type="dxa"/>
              <w:right w:w="108" w:type="dxa"/>
            </w:tcMar>
          </w:tcPr>
          <w:p w:rsidR="005B6508" w:rsidRDefault="005B6508">
            <w:pPr>
              <w:widowControl w:val="0"/>
              <w:spacing w:line="276" w:lineRule="auto"/>
              <w:rPr>
                <w:color w:val="0070C0"/>
                <w:sz w:val="22"/>
                <w:szCs w:val="22"/>
              </w:rPr>
            </w:pPr>
          </w:p>
        </w:tc>
      </w:tr>
      <w:tr w:rsidR="005B6508">
        <w:trPr>
          <w:trHeight w:val="576"/>
        </w:trPr>
        <w:tc>
          <w:tcPr>
            <w:tcW w:w="5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4125" w:type="dxa"/>
            <w:vMerge/>
            <w:tcBorders>
              <w:top w:val="single" w:sz="5" w:space="0" w:color="000000"/>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1305" w:type="dxa"/>
            <w:vMerge/>
            <w:tcBorders>
              <w:top w:val="single" w:sz="5" w:space="0" w:color="000000"/>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1950" w:type="dxa"/>
            <w:tcMar>
              <w:top w:w="0" w:type="dxa"/>
              <w:left w:w="108" w:type="dxa"/>
              <w:bottom w:w="0" w:type="dxa"/>
              <w:right w:w="108" w:type="dxa"/>
            </w:tcMar>
          </w:tcPr>
          <w:p w:rsidR="005B6508" w:rsidRDefault="005B6508">
            <w:pPr>
              <w:rPr>
                <w:color w:val="0070C0"/>
                <w:sz w:val="22"/>
                <w:szCs w:val="22"/>
              </w:rPr>
            </w:pPr>
          </w:p>
        </w:tc>
        <w:tc>
          <w:tcPr>
            <w:tcW w:w="2130" w:type="dxa"/>
            <w:tcMar>
              <w:top w:w="0" w:type="dxa"/>
              <w:left w:w="108" w:type="dxa"/>
              <w:bottom w:w="0" w:type="dxa"/>
              <w:right w:w="108" w:type="dxa"/>
            </w:tcMar>
          </w:tcPr>
          <w:p w:rsidR="005B6508" w:rsidRDefault="005B6508">
            <w:pPr>
              <w:rPr>
                <w:color w:val="0070C0"/>
                <w:sz w:val="22"/>
                <w:szCs w:val="22"/>
              </w:rPr>
            </w:pPr>
          </w:p>
        </w:tc>
      </w:tr>
      <w:tr w:rsidR="005B6508">
        <w:trPr>
          <w:trHeight w:val="288"/>
        </w:trPr>
        <w:tc>
          <w:tcPr>
            <w:tcW w:w="5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000000"/>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000000"/>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hanging="21"/>
              <w:jc w:val="center"/>
              <w:rPr>
                <w:color w:val="0070C0"/>
                <w:sz w:val="22"/>
                <w:szCs w:val="22"/>
              </w:rPr>
            </w:pPr>
          </w:p>
        </w:tc>
        <w:tc>
          <w:tcPr>
            <w:tcW w:w="1950" w:type="dxa"/>
            <w:tcMar>
              <w:top w:w="0" w:type="dxa"/>
              <w:left w:w="108" w:type="dxa"/>
              <w:bottom w:w="0" w:type="dxa"/>
              <w:right w:w="108" w:type="dxa"/>
            </w:tcMar>
          </w:tcPr>
          <w:p w:rsidR="005B6508" w:rsidRDefault="005B6508">
            <w:pPr>
              <w:ind w:firstLine="6"/>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rPr>
          <w:trHeight w:val="288"/>
        </w:trPr>
        <w:tc>
          <w:tcPr>
            <w:tcW w:w="52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rPr>
                <w:sz w:val="24"/>
                <w:szCs w:val="24"/>
              </w:rPr>
              <w:t>1.</w:t>
            </w: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Direktoriaus pavaduotojai ūkio reikalams</w:t>
            </w:r>
          </w:p>
        </w:tc>
        <w:tc>
          <w:tcPr>
            <w:tcW w:w="13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1,04-1,14</w:t>
            </w:r>
          </w:p>
        </w:tc>
        <w:tc>
          <w:tcPr>
            <w:tcW w:w="1950" w:type="dxa"/>
            <w:tcMar>
              <w:top w:w="0" w:type="dxa"/>
              <w:left w:w="108" w:type="dxa"/>
              <w:bottom w:w="0" w:type="dxa"/>
              <w:right w:w="108" w:type="dxa"/>
            </w:tcMar>
          </w:tcPr>
          <w:p w:rsidR="005B6508" w:rsidRDefault="005B6508">
            <w:pPr>
              <w:ind w:firstLine="6"/>
              <w:jc w:val="center"/>
              <w:rPr>
                <w:color w:val="0070C0"/>
                <w:sz w:val="22"/>
                <w:szCs w:val="22"/>
              </w:rPr>
            </w:pPr>
          </w:p>
        </w:tc>
        <w:tc>
          <w:tcPr>
            <w:tcW w:w="2130" w:type="dxa"/>
            <w:tcMar>
              <w:top w:w="0" w:type="dxa"/>
              <w:left w:w="108" w:type="dxa"/>
              <w:bottom w:w="0" w:type="dxa"/>
              <w:right w:w="108" w:type="dxa"/>
            </w:tcMar>
          </w:tcPr>
          <w:p w:rsidR="005B6508" w:rsidRDefault="005B6508">
            <w:pPr>
              <w:ind w:hanging="36"/>
              <w:jc w:val="center"/>
              <w:rPr>
                <w:color w:val="0070C0"/>
                <w:sz w:val="22"/>
                <w:szCs w:val="22"/>
              </w:rPr>
            </w:pPr>
          </w:p>
        </w:tc>
      </w:tr>
      <w:tr w:rsidR="005B6508">
        <w:trPr>
          <w:trHeight w:val="288"/>
        </w:trPr>
        <w:tc>
          <w:tcPr>
            <w:tcW w:w="52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2.</w:t>
            </w: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Pailgintos dienos grupės specialistas A lygio</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0,67-0,84</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rPr>
          <w:trHeight w:val="288"/>
        </w:trPr>
        <w:tc>
          <w:tcPr>
            <w:tcW w:w="525" w:type="dxa"/>
            <w:vMerge w:val="restart"/>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pPr>
            <w:r>
              <w:t>3.</w:t>
            </w:r>
          </w:p>
        </w:tc>
        <w:tc>
          <w:tcPr>
            <w:tcW w:w="412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pPr>
            <w:r>
              <w:rPr>
                <w:b/>
              </w:rPr>
              <w:t>A lygio pareigybės</w:t>
            </w:r>
            <w:r>
              <w:t xml:space="preserve"> (PVZ: ūkio vedėjas, raštinės vedėjas ir kt.)</w:t>
            </w:r>
          </w:p>
        </w:tc>
        <w:tc>
          <w:tcPr>
            <w:tcW w:w="130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pPr>
            <w:r>
              <w:t>0,67-0,76</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pPr>
            <w:r>
              <w:rPr>
                <w:b/>
              </w:rPr>
              <w:t>B lygio pareigybės</w:t>
            </w:r>
            <w:r>
              <w:t xml:space="preserve"> (PVZ: ūkio vedėjas, raštinės vedėjas, instrumentų derintojas, informatikas inžinierius, elektrikas inžinierius, stadiono koordinatorius, dujinės (elektrinės) katilinės operatorius, sekretorius, laborantas, vyriausiasis virėjas, pailgintos dienos grupės specialistas ir kt.)</w:t>
            </w:r>
          </w:p>
        </w:tc>
        <w:tc>
          <w:tcPr>
            <w:tcW w:w="130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pPr>
            <w:r>
              <w:t>0,62-0,7</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pPr>
            <w:r>
              <w:rPr>
                <w:b/>
              </w:rPr>
              <w:t>C lygio pareigybės</w:t>
            </w:r>
            <w:r>
              <w:t xml:space="preserve"> (PVZ: ūkio vedėjas, raštinės vedėjas, instrumentų derintojas, informatikas inžinierius, elektrikas inžinierius, stadiono koordinatorius, dujinės (elektrinės) katilinės operatorius, sekretorius, laborantas, vyriausiasis virėjas, virėjas, mokytojo (auklėtojo) padėjėjas, sandėlininkas, pailgintos dienos grupės specialistas, vairuotojas ir kt.)</w:t>
            </w:r>
          </w:p>
        </w:tc>
        <w:tc>
          <w:tcPr>
            <w:tcW w:w="130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pPr>
            <w:r>
              <w:t>0,57-0,65</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jc w:val="center"/>
              <w:rPr>
                <w:color w:val="0070C0"/>
                <w:sz w:val="22"/>
                <w:szCs w:val="22"/>
              </w:rPr>
            </w:pPr>
          </w:p>
        </w:tc>
        <w:tc>
          <w:tcPr>
            <w:tcW w:w="130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ind w:firstLine="37"/>
              <w:jc w:val="center"/>
              <w:rPr>
                <w:color w:val="0070C0"/>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4.</w:t>
            </w: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rPr>
                <w:b/>
              </w:rPr>
              <w:t xml:space="preserve">D lygio pareigybės: </w:t>
            </w:r>
            <w:r>
              <w:t>(PVZ: einamojo remonto darbininkas, drabužininkas, kiemsargis, valytojas, krosnių kūrikas, kūrikas, sargas, skalbėjas, sandėlininkas, pagalbinis darbuotojas, naktinis auklėtojas, budintis ir kt.)</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MMA</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val="restart"/>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sz w:val="22"/>
                <w:szCs w:val="22"/>
              </w:rPr>
            </w:pPr>
            <w:r>
              <w:rPr>
                <w:sz w:val="22"/>
                <w:szCs w:val="22"/>
              </w:rPr>
              <w:t>5.</w:t>
            </w: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rPr>
                <w:b/>
              </w:rPr>
              <w:t>Mokyklų bibliotekų darbuotojai:</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5B6508">
            <w:pPr>
              <w:widowControl w:val="0"/>
              <w:spacing w:line="276" w:lineRule="auto"/>
              <w:rPr>
                <w:rFonts w:ascii="Calibri" w:eastAsia="Calibri" w:hAnsi="Calibri" w:cs="Calibri"/>
                <w:sz w:val="22"/>
                <w:szCs w:val="22"/>
              </w:rPr>
            </w:pP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Bibliotekų vedėjai A lygis</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0,67-0,9</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Bibliotekininkai A lygis</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rsidR="005B6508" w:rsidRDefault="00AA030E">
            <w:pPr>
              <w:widowControl w:val="0"/>
              <w:spacing w:line="276" w:lineRule="auto"/>
              <w:jc w:val="center"/>
              <w:rPr>
                <w:rFonts w:ascii="Calibri" w:eastAsia="Calibri" w:hAnsi="Calibri" w:cs="Calibri"/>
                <w:sz w:val="22"/>
                <w:szCs w:val="22"/>
              </w:rPr>
            </w:pPr>
            <w:r>
              <w:t>0,67-0,84</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Bibliotekų vedėjai, bibliotekininkai B lygis</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0,62-0,81</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r w:rsidR="005B6508">
        <w:tc>
          <w:tcPr>
            <w:tcW w:w="52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B6508" w:rsidRDefault="005B6508">
            <w:pPr>
              <w:rPr>
                <w:color w:val="0070C0"/>
                <w:sz w:val="22"/>
                <w:szCs w:val="22"/>
              </w:rPr>
            </w:pPr>
          </w:p>
        </w:tc>
        <w:tc>
          <w:tcPr>
            <w:tcW w:w="412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rPr>
                <w:rFonts w:ascii="Calibri" w:eastAsia="Calibri" w:hAnsi="Calibri" w:cs="Calibri"/>
                <w:sz w:val="22"/>
                <w:szCs w:val="22"/>
              </w:rPr>
            </w:pPr>
            <w:r>
              <w:t>Bibliotekų vedėjai, bibliotekininkai C lygis</w:t>
            </w:r>
          </w:p>
        </w:tc>
        <w:tc>
          <w:tcPr>
            <w:tcW w:w="13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rsidR="005B6508" w:rsidRDefault="00AA030E">
            <w:pPr>
              <w:widowControl w:val="0"/>
              <w:spacing w:line="276" w:lineRule="auto"/>
              <w:jc w:val="center"/>
              <w:rPr>
                <w:rFonts w:ascii="Calibri" w:eastAsia="Calibri" w:hAnsi="Calibri" w:cs="Calibri"/>
                <w:sz w:val="22"/>
                <w:szCs w:val="22"/>
              </w:rPr>
            </w:pPr>
            <w:r>
              <w:t>0,57-0,65</w:t>
            </w:r>
          </w:p>
        </w:tc>
        <w:tc>
          <w:tcPr>
            <w:tcW w:w="1950" w:type="dxa"/>
            <w:tcMar>
              <w:top w:w="0" w:type="dxa"/>
              <w:left w:w="108" w:type="dxa"/>
              <w:bottom w:w="0" w:type="dxa"/>
              <w:right w:w="108" w:type="dxa"/>
            </w:tcMar>
          </w:tcPr>
          <w:p w:rsidR="005B6508" w:rsidRDefault="005B6508">
            <w:pPr>
              <w:jc w:val="center"/>
              <w:rPr>
                <w:color w:val="0070C0"/>
                <w:sz w:val="22"/>
                <w:szCs w:val="22"/>
              </w:rPr>
            </w:pPr>
          </w:p>
        </w:tc>
        <w:tc>
          <w:tcPr>
            <w:tcW w:w="2130" w:type="dxa"/>
            <w:tcMar>
              <w:top w:w="0" w:type="dxa"/>
              <w:left w:w="108" w:type="dxa"/>
              <w:bottom w:w="0" w:type="dxa"/>
              <w:right w:w="108" w:type="dxa"/>
            </w:tcMar>
          </w:tcPr>
          <w:p w:rsidR="005B6508" w:rsidRDefault="005B6508">
            <w:pPr>
              <w:jc w:val="center"/>
              <w:rPr>
                <w:color w:val="0070C0"/>
                <w:sz w:val="22"/>
                <w:szCs w:val="22"/>
              </w:rPr>
            </w:pPr>
          </w:p>
        </w:tc>
      </w:tr>
    </w:tbl>
    <w:p w:rsidR="005B6508" w:rsidRDefault="005B6508">
      <w:pPr>
        <w:widowControl w:val="0"/>
        <w:spacing w:after="80"/>
        <w:jc w:val="center"/>
        <w:rPr>
          <w:rFonts w:ascii="Arial" w:eastAsia="Arial" w:hAnsi="Arial" w:cs="Arial"/>
        </w:rPr>
      </w:pPr>
    </w:p>
    <w:p w:rsidR="005B6508" w:rsidRDefault="005B6508">
      <w:pPr>
        <w:widowControl w:val="0"/>
        <w:pBdr>
          <w:top w:val="nil"/>
          <w:left w:val="nil"/>
          <w:bottom w:val="nil"/>
          <w:right w:val="nil"/>
          <w:between w:val="nil"/>
        </w:pBdr>
        <w:spacing w:after="80"/>
        <w:jc w:val="center"/>
        <w:rPr>
          <w:color w:val="000000"/>
          <w:sz w:val="22"/>
          <w:szCs w:val="22"/>
        </w:rPr>
      </w:pPr>
    </w:p>
    <w:tbl>
      <w:tblPr>
        <w:tblStyle w:val="a1"/>
        <w:tblW w:w="10281" w:type="dxa"/>
        <w:tblInd w:w="-108" w:type="dxa"/>
        <w:tblLayout w:type="fixed"/>
        <w:tblLook w:val="0000" w:firstRow="0" w:lastRow="0" w:firstColumn="0" w:lastColumn="0" w:noHBand="0" w:noVBand="0"/>
      </w:tblPr>
      <w:tblGrid>
        <w:gridCol w:w="5140"/>
        <w:gridCol w:w="5141"/>
      </w:tblGrid>
      <w:tr w:rsidR="005B6508">
        <w:tc>
          <w:tcPr>
            <w:tcW w:w="5140" w:type="dxa"/>
          </w:tcPr>
          <w:p w:rsidR="005B6508" w:rsidRDefault="005B6508">
            <w:pPr>
              <w:widowControl w:val="0"/>
              <w:pBdr>
                <w:top w:val="nil"/>
                <w:left w:val="nil"/>
                <w:bottom w:val="nil"/>
                <w:right w:val="nil"/>
                <w:between w:val="nil"/>
              </w:pBdr>
              <w:spacing w:after="80"/>
              <w:jc w:val="center"/>
              <w:rPr>
                <w:color w:val="000000"/>
                <w:sz w:val="22"/>
                <w:szCs w:val="22"/>
              </w:rPr>
            </w:pPr>
          </w:p>
        </w:tc>
        <w:tc>
          <w:tcPr>
            <w:tcW w:w="5141" w:type="dxa"/>
          </w:tcPr>
          <w:p w:rsidR="005B6508" w:rsidRPr="00551454" w:rsidRDefault="00551454">
            <w:pPr>
              <w:pBdr>
                <w:top w:val="nil"/>
                <w:left w:val="nil"/>
                <w:bottom w:val="nil"/>
                <w:right w:val="nil"/>
                <w:between w:val="nil"/>
              </w:pBdr>
              <w:spacing w:after="80"/>
              <w:jc w:val="center"/>
              <w:rPr>
                <w:sz w:val="22"/>
                <w:szCs w:val="22"/>
              </w:rPr>
            </w:pPr>
            <w:r w:rsidRPr="00551454">
              <w:rPr>
                <w:b/>
                <w:sz w:val="22"/>
                <w:szCs w:val="22"/>
              </w:rPr>
              <w:t>VILNIAUS R. MICKŪNŲ VAIKŲ LOPŠELIO-DARŽELIO</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DARBO APMOKĖJIMO SISTEMOS APRAŠO</w:t>
            </w:r>
          </w:p>
          <w:p w:rsidR="005B6508" w:rsidRDefault="00AA030E">
            <w:pPr>
              <w:pBdr>
                <w:top w:val="nil"/>
                <w:left w:val="nil"/>
                <w:bottom w:val="nil"/>
                <w:right w:val="nil"/>
                <w:between w:val="nil"/>
              </w:pBdr>
              <w:spacing w:after="80"/>
              <w:jc w:val="center"/>
              <w:rPr>
                <w:color w:val="000000"/>
                <w:sz w:val="22"/>
                <w:szCs w:val="22"/>
              </w:rPr>
            </w:pPr>
            <w:r>
              <w:rPr>
                <w:b/>
                <w:color w:val="000000"/>
                <w:sz w:val="22"/>
                <w:szCs w:val="22"/>
              </w:rPr>
              <w:t>2 priedas</w:t>
            </w:r>
          </w:p>
        </w:tc>
      </w:tr>
    </w:tbl>
    <w:p w:rsidR="005B6508" w:rsidRDefault="005B6508">
      <w:pPr>
        <w:widowControl w:val="0"/>
        <w:pBdr>
          <w:top w:val="nil"/>
          <w:left w:val="nil"/>
          <w:bottom w:val="nil"/>
          <w:right w:val="nil"/>
          <w:between w:val="nil"/>
        </w:pBdr>
        <w:spacing w:after="80"/>
        <w:jc w:val="center"/>
        <w:rPr>
          <w:color w:val="000000"/>
          <w:sz w:val="22"/>
          <w:szCs w:val="22"/>
        </w:rPr>
      </w:pPr>
    </w:p>
    <w:p w:rsidR="005B6508" w:rsidRDefault="00AA030E">
      <w:pPr>
        <w:pBdr>
          <w:top w:val="nil"/>
          <w:left w:val="nil"/>
          <w:bottom w:val="nil"/>
          <w:right w:val="nil"/>
          <w:between w:val="nil"/>
        </w:pBdr>
        <w:jc w:val="center"/>
        <w:rPr>
          <w:color w:val="000000"/>
          <w:sz w:val="22"/>
          <w:szCs w:val="22"/>
        </w:rPr>
      </w:pPr>
      <w:r>
        <w:rPr>
          <w:b/>
          <w:color w:val="000000"/>
          <w:sz w:val="22"/>
          <w:szCs w:val="22"/>
        </w:rPr>
        <w:t xml:space="preserve">MOKYTOJŲ, PAGALBOS MOKINIUI SPECIALISTŲ, </w:t>
      </w:r>
    </w:p>
    <w:p w:rsidR="005B6508" w:rsidRDefault="00AA030E">
      <w:pPr>
        <w:pBdr>
          <w:top w:val="nil"/>
          <w:left w:val="nil"/>
          <w:bottom w:val="nil"/>
          <w:right w:val="nil"/>
          <w:between w:val="nil"/>
        </w:pBdr>
        <w:jc w:val="center"/>
        <w:rPr>
          <w:color w:val="000000"/>
          <w:sz w:val="22"/>
          <w:szCs w:val="22"/>
        </w:rPr>
      </w:pPr>
      <w:bookmarkStart w:id="25" w:name="_heading=h.3as4poj" w:colFirst="0" w:colLast="0"/>
      <w:bookmarkEnd w:id="25"/>
      <w:r>
        <w:rPr>
          <w:b/>
          <w:color w:val="000000"/>
          <w:sz w:val="22"/>
          <w:szCs w:val="22"/>
        </w:rPr>
        <w:t xml:space="preserve">ĮSTAIGOS DIREKTORIAUS PAVADUOTOJŲ UGDYMUI, UGDYMĄ ORGANIZUOJANČIŲ SKYRIŲ VEDĖJŲ, KURIŲ DARBAS LAIKOMAS PEDAGOGINIU, </w:t>
      </w:r>
    </w:p>
    <w:p w:rsidR="005B6508" w:rsidRDefault="00AA030E">
      <w:pPr>
        <w:pBdr>
          <w:top w:val="nil"/>
          <w:left w:val="nil"/>
          <w:bottom w:val="nil"/>
          <w:right w:val="nil"/>
          <w:between w:val="nil"/>
        </w:pBdr>
        <w:jc w:val="center"/>
        <w:rPr>
          <w:color w:val="000000"/>
          <w:sz w:val="22"/>
          <w:szCs w:val="22"/>
        </w:rPr>
      </w:pPr>
      <w:r>
        <w:rPr>
          <w:b/>
          <w:sz w:val="22"/>
          <w:szCs w:val="22"/>
        </w:rPr>
        <w:t xml:space="preserve">PAREIGINĖS ALGOS KOEFICIENTŲ </w:t>
      </w:r>
      <w:r>
        <w:rPr>
          <w:b/>
          <w:color w:val="000000"/>
          <w:sz w:val="22"/>
          <w:szCs w:val="22"/>
        </w:rPr>
        <w:t xml:space="preserve"> </w:t>
      </w:r>
      <w:r>
        <w:rPr>
          <w:b/>
          <w:sz w:val="22"/>
          <w:szCs w:val="22"/>
        </w:rPr>
        <w:t xml:space="preserve">DIDINIMAS </w:t>
      </w:r>
      <w:r>
        <w:rPr>
          <w:b/>
          <w:color w:val="000000"/>
          <w:sz w:val="22"/>
          <w:szCs w:val="22"/>
        </w:rPr>
        <w:t xml:space="preserve"> DĖL VEIKLOS SUDĖTINGUMO</w:t>
      </w:r>
    </w:p>
    <w:p w:rsidR="005B6508" w:rsidRDefault="005B6508">
      <w:pPr>
        <w:widowControl w:val="0"/>
        <w:pBdr>
          <w:top w:val="nil"/>
          <w:left w:val="nil"/>
          <w:bottom w:val="nil"/>
          <w:right w:val="nil"/>
          <w:between w:val="nil"/>
        </w:pBdr>
        <w:spacing w:after="80"/>
        <w:jc w:val="both"/>
        <w:rPr>
          <w:color w:val="0070C0"/>
          <w:sz w:val="22"/>
          <w:szCs w:val="22"/>
        </w:rPr>
      </w:pPr>
      <w:bookmarkStart w:id="26" w:name="_heading=h.1pxezwc" w:colFirst="0" w:colLast="0"/>
      <w:bookmarkEnd w:id="26"/>
    </w:p>
    <w:p w:rsidR="005B6508" w:rsidRDefault="005B6508">
      <w:pPr>
        <w:widowControl w:val="0"/>
        <w:pBdr>
          <w:top w:val="nil"/>
          <w:left w:val="nil"/>
          <w:bottom w:val="nil"/>
          <w:right w:val="nil"/>
          <w:between w:val="nil"/>
        </w:pBdr>
        <w:spacing w:after="80"/>
        <w:rPr>
          <w:color w:val="0070C0"/>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27" w:name="_heading=h.2p2csry" w:colFirst="0" w:colLast="0"/>
      <w:bookmarkEnd w:id="27"/>
      <w:r>
        <w:rPr>
          <w:b/>
          <w:i/>
          <w:sz w:val="22"/>
          <w:szCs w:val="22"/>
        </w:rPr>
        <w:t xml:space="preserve">Mokytojų, dirbančių pagal bendrojo ugdymo, profesinio mokymo ir neformaliojo švietimo programas (išskyrus ikimokyklinio ir priešmokyklinio ugdymo programas), pareiginės algos koeficientai dėl veiklos sudėtingumo: </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 xml:space="preserve">2.1. didinami </w:t>
      </w:r>
      <w:r>
        <w:rPr>
          <w:i/>
          <w:sz w:val="22"/>
          <w:szCs w:val="22"/>
          <w:highlight w:val="lightGray"/>
        </w:rPr>
        <w:t>1–15 procentų</w:t>
      </w:r>
      <w:r>
        <w:rPr>
          <w:i/>
          <w:sz w:val="22"/>
          <w:szCs w:val="22"/>
        </w:rPr>
        <w:t>:</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2.1.1. dirbantiems bendrojo ugdymo mokyklose, išskyrus šio priedo 2.1.2 ir 2.1.3 papunkčiuose nurodytas mokyklas, įstaigose, vykdančiose profesinio mokymo, neformaliojo švietimo programas (išskyrus ikimokyklinio ir priešmokyklinio ugdymo programas), kurių klasėje (grupėje) ugdomas vienas ar daugiau mokinių, dėl įgimtų ar įgytų sutrikimų turinčių vidutinių,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2.1.2. dirbantiems bendrojo ugdymo mokyklose (klasėse), skirtose mokiniams, dėl įgimtų ar įgytų sutrikimų turintiems didelių ar labai didelių specialiųjų ugdymosi poreikių, pagal bendrojo ugdymo ir neformaliojo švietimo programas (išskyrus ikimokyklinio ir priešmokyklinio ugdymo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2.1.3. dirbantiems bendrojo ugdymo mokyklose (klasėse), skirtose mokiniams, dėl nepalankių aplinkos veiksnių turintiems specialiųjų ugdymosi poreikių, pagal bendrojo ugdymo ir neformaliojo švietimo programas (išskyrus ikimokyklinio ir priešmokyklinio ugdymo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2.1.4. dirbantiems profesinio mokymo įstaigose (skyriuose, grupėse, klasėse), skirtose mokiniams, turintiems specialiųjų ugdymosi poreikių, pagal bendrojo ugdymo, profesinio mokymo ir neformaliojo švietimo programas (išskyrus ikimokyklinio ir priešmokyklinio ugdymo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2.1.5. dirbantiems socialinės globos įstaigose, skirtose vaikams;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2.1.6. mokantiems mokinį, kuriam dėl ligos ar patologinės būklės skirtas mokymas namuose;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2.1.7. mokantiems pagal tarptautinio bakalaureato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2.1.8. mokantiems vieną ar daugiau užsieniečių arba Lietuvos Respublikos piliečių, atvykusių gyventi į Lietuvos Respubliką, nemokančių valstybinės kalbos, dvejus metus nuo mokinio mokymosi pradžios Lietuvos Respublikoje pagal bendrojo ugdymo ir profesinio mokymo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2.1.9. mokantiems dalykus lietuvių kalba bendrojo ugdymo mokyklų, kuriose įteisintas mokymas tautinės mažumos kalba, III ir IV gimnazijų klasėse;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2.1.10. dirbantiems pradinėse klasėse Elektrėnų, Šalčininkų rajono, Širvintų rajono, Švenčionių rajono, Trakų rajono, Vilniaus miesto, Vilniaus rajono ir Visagino savivaldybių teritorijose esančiose bendrojo ugdymo mokyklose, kuriose įteisintas mokymas lietuvių kalba (jeigu klasėje mokosi 10 ar daugiau mokinių ir iš jų ne mažiau kaip 50 procentų nemoka valstybinės kalbos);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highlight w:val="lightGray"/>
        </w:rPr>
        <w:t>2.2. gali būti didinami iki 20 procentų pagal kitus biudžetinės įstaigos darbo apmokėjimo sistemoje nustatytus kriterijus.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3. Jeigu mokytojo, dirbančio pagal bendrojo ugdymo, profesinio mokymo ir neformaliojo švietimo programas (išskyrus ikimokyklinio ir priešmokyklinio ugdymo programas), veikla atitinka du ar daugiau šio priedo 2 punkte nustatytų kriterijų, jo pareiginės algos koeficientas didinamas ne daugiau kaip 25 procentais.</w:t>
      </w:r>
    </w:p>
    <w:p w:rsidR="005B6508" w:rsidRDefault="005B6508">
      <w:pPr>
        <w:widowControl w:val="0"/>
        <w:pBdr>
          <w:top w:val="nil"/>
          <w:left w:val="nil"/>
          <w:bottom w:val="nil"/>
          <w:right w:val="nil"/>
          <w:between w:val="nil"/>
        </w:pBdr>
        <w:spacing w:after="80"/>
        <w:ind w:left="360"/>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28" w:name="_heading=h.147n2zr" w:colFirst="0" w:colLast="0"/>
      <w:bookmarkEnd w:id="28"/>
      <w:r>
        <w:rPr>
          <w:b/>
          <w:i/>
          <w:sz w:val="22"/>
          <w:szCs w:val="22"/>
        </w:rPr>
        <w:lastRenderedPageBreak/>
        <w:t>Mokytojų, dirbančių pagal ikimokyklinio ugdymo programą, ir meninio ugdymo mokytojų, dirbančių pagal ikimokyklinio ir (arba) priešmokyklinio ugdymo programas), pareiginės algos koeficientai dėl veiklos sudėtingumo:</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 xml:space="preserve">13.1. didinami </w:t>
      </w:r>
      <w:r>
        <w:rPr>
          <w:i/>
          <w:sz w:val="22"/>
          <w:szCs w:val="22"/>
          <w:highlight w:val="lightGray"/>
        </w:rPr>
        <w:t>5–10 procentų</w:t>
      </w:r>
      <w:r>
        <w:rPr>
          <w:i/>
          <w:sz w:val="22"/>
          <w:szCs w:val="22"/>
        </w:rPr>
        <w:t xml:space="preserve"> mokytojams, dirbantiems pagal ikimokyklinio ugdymo programą, ir meninio ugdymo mokytojams, dirbantiems pagal ikimokyklinio ir (arba) priešmokyklinio ugdymo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13.1.1. jeigu grupėje ugdomi 2 ar daugiau mokinių, dėl įgimtų ar įgytų sutrikimų turinčių vidutinių specialiųjų ugdymosi poreikių, ir (arba) 1–3 mokiniai, dėl įgimtų ar įgytų sutrikimų turintys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13.1.2. jeigu grupėje ugdomas vienas ar daugiau užsieniečių arba Lietuvos Respublikos piliečių, atvykusių gyventi į Lietuvos Respubliką, nemokančių valstybinės kalbos, dvejus metus nuo mokinio (mokinių) mokymosi pradžios Lietuvos Respublikoje;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 xml:space="preserve">13.2. didinami </w:t>
      </w:r>
      <w:r>
        <w:rPr>
          <w:i/>
          <w:sz w:val="22"/>
          <w:szCs w:val="22"/>
          <w:highlight w:val="lightGray"/>
        </w:rPr>
        <w:t>5–20 procentų</w:t>
      </w:r>
      <w:r>
        <w:rPr>
          <w:i/>
          <w:sz w:val="22"/>
          <w:szCs w:val="22"/>
        </w:rPr>
        <w:t xml:space="preserve"> mokytojams, dirbantiems pagal ikimokyklinio ugdymo programą:</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13.2.1. ikimokyklinio ugdymo mokyklose (ikimokyklinio ugdymo grupėse), skirtose mokiniams, dėl įgimtų ar įgytų sutrikimų turintiems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13.2.2. jeigu grupėje ugdomi 4 ar daugiau mokinių, dėl įgimtų ar įgytų sutrikimų turinčių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13.2.3. sutrikusio vystymosi kūdikių namuose;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13.2.4. socialinės globos įstaigose, skirtose vaikams;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 xml:space="preserve">13.3. didinami </w:t>
      </w:r>
      <w:r>
        <w:rPr>
          <w:i/>
          <w:sz w:val="22"/>
          <w:szCs w:val="22"/>
          <w:highlight w:val="lightGray"/>
        </w:rPr>
        <w:t>5–20 procentų</w:t>
      </w:r>
      <w:r>
        <w:rPr>
          <w:i/>
          <w:sz w:val="22"/>
          <w:szCs w:val="22"/>
        </w:rPr>
        <w:t xml:space="preserve"> meninio ugdymo mokytojams, dirbantiems pagal ikimokyklinio ir (arba) priešmokyklinio ugdymo programas: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13.3.1. ikimokyklinio ugdymo mokyklose (ikimokyklinio arba priešmokyklinio ugdymo grupėse), skirtose mokiniams, dėl įgimtų ar įgytų sutrikimų turintiems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13.3.2. jeigu grupėje ugdomi 4 ar daugiau mokinių, dėl įgimtų ar įgytų sutrikimų turinčių didelių ar labai didelių specialiųjų ugdymosi poreikių;</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13.3.3. sanatorijų mokyklose (priešmokyklinio ugdymo grupėse);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13.3.4. sutrikusio vystymosi kūdikių namuose;</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13.3.5. socialinės globos įstaigose, skirtose vaikams;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highlight w:val="lightGray"/>
        </w:rPr>
        <w:t>13.4. gali būti didinami iki 20 procentų mokytojams, dirbantiems pagal ikimokyklinio ugdymo programą, ir meninio ugdymo mokytojams, dirbantiems pagal ikimokyklinio ir (arba) priešmokyklinio ugdymo programas, pagal kitus biudžetinės įstaigos darbo apmokėjimo sistemoje nustatytus kriterijus.</w:t>
      </w:r>
    </w:p>
    <w:p w:rsidR="005B6508" w:rsidRDefault="00AA030E">
      <w:pPr>
        <w:widowControl w:val="0"/>
        <w:pBdr>
          <w:top w:val="nil"/>
          <w:left w:val="nil"/>
          <w:bottom w:val="nil"/>
          <w:right w:val="nil"/>
          <w:between w:val="nil"/>
        </w:pBdr>
        <w:spacing w:after="80"/>
        <w:ind w:left="851"/>
        <w:jc w:val="both"/>
        <w:rPr>
          <w:sz w:val="22"/>
          <w:szCs w:val="22"/>
        </w:rPr>
      </w:pPr>
      <w:r>
        <w:rPr>
          <w:i/>
          <w:sz w:val="22"/>
          <w:szCs w:val="22"/>
        </w:rPr>
        <w:t>14. Jeigu mokytojo, dirbančio pagal ikimokyklinio ugdymo programą, ir meninio ugdymo mokytojų, dirbančių pagal ikimokyklinio ir (arba) priešmokyklinio ugdymo programas, veikla atitinka du ar daugiau šio priedo 13 punkte nustatytų kriterijų, jų pareiginės algos koeficientas didinamas ne daugiau kaip 25 procentais.</w:t>
      </w:r>
    </w:p>
    <w:p w:rsidR="005B6508" w:rsidRDefault="005B6508">
      <w:pPr>
        <w:widowControl w:val="0"/>
        <w:pBdr>
          <w:top w:val="nil"/>
          <w:left w:val="nil"/>
          <w:bottom w:val="nil"/>
          <w:right w:val="nil"/>
          <w:between w:val="nil"/>
        </w:pBdr>
        <w:spacing w:after="80"/>
        <w:ind w:left="36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r>
        <w:rPr>
          <w:b/>
          <w:i/>
          <w:sz w:val="22"/>
          <w:szCs w:val="22"/>
        </w:rPr>
        <w:t>Mokytojų, dirbančių pagal priešmokyklinio ugdymo programą, pareiginės algos koeficientai dėl veiklos sudėtingumo:</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19.1. didinami </w:t>
      </w:r>
      <w:r>
        <w:rPr>
          <w:i/>
          <w:sz w:val="22"/>
          <w:szCs w:val="22"/>
          <w:highlight w:val="lightGray"/>
        </w:rPr>
        <w:t>5–10</w:t>
      </w:r>
      <w:r>
        <w:rPr>
          <w:i/>
          <w:sz w:val="22"/>
          <w:szCs w:val="22"/>
        </w:rPr>
        <w:t xml:space="preserve"> procentų:</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19.1.1. grupėje ugdantiems 2 ar daugiau mokinių, dėl įgimtų ar įgytų sutrikimų turinčių vidutinių specialiųjų ugdymosi poreikių, ir (arba) 1–3 mokinius, turinčius didelių ar labai didelių specialiųjų ugdymosi poreikių;</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19.1.2. ugdantiems vieną ar daugiau užsieniečių arba Lietuvos Respublikos piliečių, atvykusių gyventi į Lietuvos Respubliką, nemokančių valstybinės kalbos, dvejus metus nuo mokinio mokymosi pradžios Lietuvos Respublikoje;</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19.2. didinami </w:t>
      </w:r>
      <w:r>
        <w:rPr>
          <w:i/>
          <w:sz w:val="22"/>
          <w:szCs w:val="22"/>
          <w:highlight w:val="lightGray"/>
        </w:rPr>
        <w:t>5–20</w:t>
      </w:r>
      <w:r>
        <w:rPr>
          <w:i/>
          <w:sz w:val="22"/>
          <w:szCs w:val="22"/>
        </w:rPr>
        <w:t xml:space="preserve"> procentų:</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19.2.1. dirbantiems ikimokyklinio ugdymo mokyklose ar priešmokyklinio ugdymo grupėse, skirtose mokiniams, dėl įgimtų ar įgytų sutrikimų turintiems didelių ar labai didelių specialiųjų ugdymosi poreikių;</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19.2.2. dirbantiems sanatorijų mokyklose (priešmokyklinio ugdymo grupėse);</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lastRenderedPageBreak/>
        <w:t>19.2.3. dirbantiems socialinės globos įstaigose, skirtose vaikams;</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19.2.4. dirbantiems sutrikusio vystymosi kūdikių namuose;</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19.2.5. mokantiems mokinius, kuriems dėl ligos ar patologinės būklės skirtas mokymas namuose;</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19.2.6. grupėje ugdantiems 4 ar daugiau mokinių, dėl įgimtų ar įgytų sutrikimų turinčių didelių ar labai didelių specialiųjų ugdymosi poreikių;</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19.3. </w:t>
      </w:r>
      <w:r>
        <w:rPr>
          <w:i/>
          <w:sz w:val="22"/>
          <w:szCs w:val="22"/>
          <w:highlight w:val="lightGray"/>
        </w:rPr>
        <w:t>gali būti didinami iki 20 procentų pagal kitus biudžetinės įstaigos darbo apmokėjimo sistemoje nustatytus kriterijus</w:t>
      </w:r>
      <w:r>
        <w:rPr>
          <w:i/>
          <w:sz w:val="22"/>
          <w:szCs w:val="22"/>
        </w:rPr>
        <w:t>.</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20. Jeigu mokytojo, dirbančio pagal priešmokyklinio ugdymo programą, veikla atitinka du ar daugiau šio priedo 19 punkte nustatytų kriterijų, jo pareiginės algos koeficientas didinamas ne daugiau kaip 25 procentais.</w:t>
      </w:r>
    </w:p>
    <w:p w:rsidR="005B6508" w:rsidRDefault="005B6508">
      <w:pPr>
        <w:widowControl w:val="0"/>
        <w:pBdr>
          <w:top w:val="nil"/>
          <w:left w:val="nil"/>
          <w:bottom w:val="nil"/>
          <w:right w:val="nil"/>
          <w:between w:val="nil"/>
        </w:pBdr>
        <w:spacing w:after="80"/>
        <w:ind w:left="709" w:firstLine="1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29" w:name="_heading=h.3o7alnk" w:colFirst="0" w:colLast="0"/>
      <w:bookmarkEnd w:id="29"/>
      <w:r>
        <w:rPr>
          <w:b/>
          <w:i/>
          <w:sz w:val="22"/>
          <w:szCs w:val="22"/>
        </w:rPr>
        <w:t>Specialiųjų pedagogų, logopedų, surdopedagogų, tiflopedagogų, išskyrus dirbančius švietimo pagalbos įstaigose, judesio korekcijos specialistų, karjeros specialistų pareiginės algos koeficientai dėl veiklos sudėtingumo:</w:t>
      </w:r>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25.1. didinami </w:t>
      </w:r>
      <w:r>
        <w:rPr>
          <w:i/>
          <w:sz w:val="22"/>
          <w:szCs w:val="22"/>
          <w:highlight w:val="lightGray"/>
        </w:rPr>
        <w:t>1–15 procentų</w:t>
      </w:r>
      <w:r>
        <w:rPr>
          <w:i/>
          <w:sz w:val="22"/>
          <w:szCs w:val="22"/>
        </w:rPr>
        <w:t xml:space="preserve"> dirbantiems bendrojo ugdymo mokyklose ir įstaigose, vykdančiose profesinio mokymo, neformaliojo švietimo programas, išskyrus nurodytas šio priedo 25.2.1 ir 25.2.2 papunkčiuose, su vienu ar daugiau mokinių, dėl įgimtų ar įgytų sutrikimų turinčių didelių ar labai didelių specialiųjų ugdymosi poreikių;</w:t>
      </w:r>
      <w:bookmarkStart w:id="30" w:name="bookmark=id.23ckvvd" w:colFirst="0" w:colLast="0"/>
      <w:bookmarkEnd w:id="30"/>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25.2. didinami </w:t>
      </w:r>
      <w:r>
        <w:rPr>
          <w:i/>
          <w:sz w:val="22"/>
          <w:szCs w:val="22"/>
          <w:highlight w:val="lightGray"/>
        </w:rPr>
        <w:t>5–20 procentų</w:t>
      </w:r>
      <w:r>
        <w:rPr>
          <w:i/>
          <w:sz w:val="22"/>
          <w:szCs w:val="22"/>
        </w:rPr>
        <w:t>:</w:t>
      </w:r>
      <w:bookmarkStart w:id="31" w:name="bookmark=id.ihv636" w:colFirst="0" w:colLast="0"/>
      <w:bookmarkEnd w:id="31"/>
    </w:p>
    <w:p w:rsidR="005B6508" w:rsidRDefault="00AA030E">
      <w:pPr>
        <w:pBdr>
          <w:top w:val="nil"/>
          <w:left w:val="nil"/>
          <w:bottom w:val="nil"/>
          <w:right w:val="nil"/>
          <w:between w:val="nil"/>
        </w:pBdr>
        <w:spacing w:after="80"/>
        <w:ind w:left="709" w:firstLine="10"/>
        <w:jc w:val="both"/>
        <w:rPr>
          <w:sz w:val="22"/>
          <w:szCs w:val="22"/>
        </w:rPr>
      </w:pPr>
      <w:r>
        <w:rPr>
          <w:i/>
          <w:sz w:val="22"/>
          <w:szCs w:val="22"/>
        </w:rPr>
        <w:t>25.2.1. dirbantiems mokyklose, skirtose mokiniams, dėl įgimtų ar įgytų sutrikimų turintiems didelių ar labai didelių specialiųjų ugdymosi poreikių;</w:t>
      </w:r>
      <w:bookmarkStart w:id="32" w:name="bookmark=id.32hioqz" w:colFirst="0" w:colLast="0"/>
      <w:bookmarkEnd w:id="32"/>
    </w:p>
    <w:p w:rsidR="005B6508" w:rsidRDefault="00AA030E">
      <w:pPr>
        <w:pBdr>
          <w:top w:val="nil"/>
          <w:left w:val="nil"/>
          <w:bottom w:val="nil"/>
          <w:right w:val="nil"/>
          <w:between w:val="nil"/>
        </w:pBdr>
        <w:spacing w:after="80"/>
        <w:ind w:left="709" w:firstLine="10"/>
        <w:jc w:val="both"/>
        <w:rPr>
          <w:sz w:val="22"/>
          <w:szCs w:val="22"/>
        </w:rPr>
      </w:pPr>
      <w:r>
        <w:rPr>
          <w:i/>
          <w:sz w:val="22"/>
          <w:szCs w:val="22"/>
        </w:rPr>
        <w:t>25.2.2. dirbantiems mokyklose, skirtose mokiniams, dėl nepalankių aplinkos veiksnių turintiems specialiųjų ugdymosi poreikių;</w:t>
      </w:r>
      <w:bookmarkStart w:id="33" w:name="bookmark=id.1hmsyys" w:colFirst="0" w:colLast="0"/>
      <w:bookmarkEnd w:id="33"/>
    </w:p>
    <w:p w:rsidR="005B6508" w:rsidRDefault="00AA030E">
      <w:pPr>
        <w:pBdr>
          <w:top w:val="nil"/>
          <w:left w:val="nil"/>
          <w:bottom w:val="nil"/>
          <w:right w:val="nil"/>
          <w:between w:val="nil"/>
        </w:pBdr>
        <w:spacing w:after="80"/>
        <w:ind w:left="709" w:firstLine="10"/>
        <w:jc w:val="both"/>
        <w:rPr>
          <w:sz w:val="22"/>
          <w:szCs w:val="22"/>
        </w:rPr>
      </w:pPr>
      <w:r>
        <w:rPr>
          <w:i/>
          <w:sz w:val="22"/>
          <w:szCs w:val="22"/>
        </w:rPr>
        <w:t>25.2.3. dirbantiems socialinės globos įstaigose, skirtose vaikams;</w:t>
      </w:r>
      <w:bookmarkStart w:id="34" w:name="bookmark=id.41mghml" w:colFirst="0" w:colLast="0"/>
      <w:bookmarkEnd w:id="34"/>
    </w:p>
    <w:p w:rsidR="005B6508" w:rsidRDefault="00AA030E">
      <w:pPr>
        <w:pBdr>
          <w:top w:val="nil"/>
          <w:left w:val="nil"/>
          <w:bottom w:val="nil"/>
          <w:right w:val="nil"/>
          <w:between w:val="nil"/>
        </w:pBdr>
        <w:spacing w:after="80"/>
        <w:ind w:left="709" w:firstLine="10"/>
        <w:jc w:val="both"/>
        <w:rPr>
          <w:sz w:val="22"/>
          <w:szCs w:val="22"/>
        </w:rPr>
      </w:pPr>
      <w:r>
        <w:rPr>
          <w:i/>
          <w:sz w:val="22"/>
          <w:szCs w:val="22"/>
        </w:rPr>
        <w:t>25.2.4. dirbantiems sutrikusio vystymosi kūdikių namuose;</w:t>
      </w:r>
      <w:bookmarkStart w:id="35" w:name="bookmark=id.2grqrue" w:colFirst="0" w:colLast="0"/>
      <w:bookmarkEnd w:id="35"/>
    </w:p>
    <w:p w:rsidR="005B6508" w:rsidRDefault="00AA030E">
      <w:pPr>
        <w:pBdr>
          <w:top w:val="nil"/>
          <w:left w:val="nil"/>
          <w:bottom w:val="nil"/>
          <w:right w:val="nil"/>
          <w:between w:val="nil"/>
        </w:pBdr>
        <w:spacing w:after="80"/>
        <w:ind w:left="709" w:firstLine="10"/>
        <w:jc w:val="both"/>
        <w:rPr>
          <w:sz w:val="22"/>
          <w:szCs w:val="22"/>
        </w:rPr>
      </w:pPr>
      <w:r>
        <w:rPr>
          <w:i/>
          <w:sz w:val="22"/>
          <w:szCs w:val="22"/>
        </w:rPr>
        <w:t>25.2.5. teikiantiems specialiąją pedagoginę pagalbą mokiniams, kuriems dėl ligos ar patologinės būklės skirtas mokymas namuose;</w:t>
      </w:r>
      <w:bookmarkStart w:id="36" w:name="bookmark=id.vx1227" w:colFirst="0" w:colLast="0"/>
      <w:bookmarkEnd w:id="36"/>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25.3. didinami </w:t>
      </w:r>
      <w:r>
        <w:rPr>
          <w:i/>
          <w:sz w:val="22"/>
          <w:szCs w:val="22"/>
          <w:highlight w:val="lightGray"/>
        </w:rPr>
        <w:t>15–25 procentais</w:t>
      </w:r>
      <w:r>
        <w:rPr>
          <w:i/>
          <w:sz w:val="22"/>
          <w:szCs w:val="22"/>
        </w:rPr>
        <w:t>, kai jie teikia specialiąją pedagoginę pagalbą ikimokyklinio amžiaus vaikams, mokyklinio amžiaus vaikams, apakusiems suaugusiesiems jų namuose ar (ir) ikimokyklinio ugdymo mokyklose, bendrojo ugdymo mokyklose, esančiose kitose gyvenamosiose vietovėse negu jų darbovietė;</w:t>
      </w:r>
      <w:bookmarkStart w:id="37" w:name="bookmark=id.3fwokq0" w:colFirst="0" w:colLast="0"/>
      <w:bookmarkEnd w:id="37"/>
    </w:p>
    <w:p w:rsidR="005B6508" w:rsidRDefault="00AA030E">
      <w:pPr>
        <w:pBdr>
          <w:top w:val="nil"/>
          <w:left w:val="nil"/>
          <w:bottom w:val="nil"/>
          <w:right w:val="nil"/>
          <w:between w:val="nil"/>
        </w:pBdr>
        <w:spacing w:after="80"/>
        <w:ind w:left="709" w:firstLine="10"/>
        <w:jc w:val="both"/>
        <w:rPr>
          <w:sz w:val="22"/>
          <w:szCs w:val="22"/>
        </w:rPr>
      </w:pPr>
      <w:r>
        <w:rPr>
          <w:i/>
          <w:sz w:val="22"/>
          <w:szCs w:val="22"/>
        </w:rPr>
        <w:t>25.4</w:t>
      </w:r>
      <w:r>
        <w:rPr>
          <w:i/>
          <w:sz w:val="22"/>
          <w:szCs w:val="22"/>
          <w:highlight w:val="lightGray"/>
        </w:rPr>
        <w:t>. gali būti didinami iki 20 procentų pagal kitus biudžetinės įstaigos darbo apmokėjimo sistemoje nustatytus kriterijus</w:t>
      </w:r>
      <w:r>
        <w:rPr>
          <w:i/>
          <w:sz w:val="22"/>
          <w:szCs w:val="22"/>
        </w:rPr>
        <w:t>.</w:t>
      </w:r>
      <w:bookmarkStart w:id="38" w:name="bookmark=id.1v1yuxt" w:colFirst="0" w:colLast="0"/>
      <w:bookmarkEnd w:id="38"/>
    </w:p>
    <w:p w:rsidR="005B6508" w:rsidRDefault="00AA030E">
      <w:pPr>
        <w:pBdr>
          <w:top w:val="nil"/>
          <w:left w:val="nil"/>
          <w:bottom w:val="nil"/>
          <w:right w:val="nil"/>
          <w:between w:val="nil"/>
        </w:pBdr>
        <w:ind w:left="709" w:firstLine="10"/>
        <w:jc w:val="both"/>
        <w:rPr>
          <w:sz w:val="22"/>
          <w:szCs w:val="22"/>
        </w:rPr>
      </w:pPr>
      <w:r>
        <w:rPr>
          <w:i/>
          <w:sz w:val="22"/>
          <w:szCs w:val="22"/>
        </w:rPr>
        <w:t>26. Jeigu specialiojo pedagogo, logopedo, surdopedagogo, tiflopedagogo, judesio korekcijos specialisto, karjeros specialisto veikla atitinka du ar daugiau šio priedo 25 punkte nustatytų kriterijų, jų pareiginės algos koeficientas didinamas ne daugiau kaip 25 procentais.</w:t>
      </w:r>
    </w:p>
    <w:p w:rsidR="005B6508" w:rsidRDefault="005B6508">
      <w:pPr>
        <w:widowControl w:val="0"/>
        <w:pBdr>
          <w:top w:val="nil"/>
          <w:left w:val="nil"/>
          <w:bottom w:val="nil"/>
          <w:right w:val="nil"/>
          <w:between w:val="nil"/>
        </w:pBdr>
        <w:spacing w:after="80"/>
        <w:ind w:firstLine="72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39" w:name="_heading=h.4f1mdlm" w:colFirst="0" w:colLast="0"/>
      <w:bookmarkEnd w:id="39"/>
      <w:r>
        <w:rPr>
          <w:b/>
          <w:i/>
          <w:sz w:val="22"/>
          <w:szCs w:val="22"/>
        </w:rPr>
        <w:t xml:space="preserve">Psichologų asistentų, psichologų, socialinių pedagogų ir švietimo pagalbos įstaigose dirbančių specialiųjų pedagogų, logopedų, surdopedagogų ir tiflopedagogų pareiginės algos koeficientai dėl veiklos sudėtingumo: </w:t>
      </w:r>
    </w:p>
    <w:p w:rsidR="005B6508" w:rsidRDefault="00AA030E">
      <w:pPr>
        <w:pBdr>
          <w:top w:val="nil"/>
          <w:left w:val="nil"/>
          <w:bottom w:val="nil"/>
          <w:right w:val="nil"/>
          <w:between w:val="nil"/>
        </w:pBdr>
        <w:spacing w:after="80"/>
        <w:ind w:left="709"/>
        <w:jc w:val="both"/>
        <w:rPr>
          <w:sz w:val="22"/>
          <w:szCs w:val="22"/>
        </w:rPr>
      </w:pPr>
      <w:r>
        <w:rPr>
          <w:i/>
          <w:sz w:val="22"/>
          <w:szCs w:val="22"/>
        </w:rPr>
        <w:t>29.1. socialiniams pedagogams, psichologo asistentams, psichologams:</w:t>
      </w:r>
      <w:bookmarkStart w:id="40" w:name="bookmark=id.2u6wntf" w:colFirst="0" w:colLast="0"/>
      <w:bookmarkEnd w:id="40"/>
    </w:p>
    <w:p w:rsidR="005B6508" w:rsidRDefault="00AA030E">
      <w:pPr>
        <w:pBdr>
          <w:top w:val="nil"/>
          <w:left w:val="nil"/>
          <w:bottom w:val="nil"/>
          <w:right w:val="nil"/>
          <w:between w:val="nil"/>
        </w:pBdr>
        <w:spacing w:after="80"/>
        <w:ind w:left="709"/>
        <w:jc w:val="both"/>
        <w:rPr>
          <w:sz w:val="22"/>
          <w:szCs w:val="22"/>
        </w:rPr>
      </w:pPr>
      <w:r>
        <w:rPr>
          <w:i/>
          <w:sz w:val="22"/>
          <w:szCs w:val="22"/>
        </w:rPr>
        <w:t xml:space="preserve">29.1.1. didinami </w:t>
      </w:r>
      <w:r>
        <w:rPr>
          <w:i/>
          <w:sz w:val="22"/>
          <w:szCs w:val="22"/>
          <w:highlight w:val="lightGray"/>
        </w:rPr>
        <w:t>1–15 procentų</w:t>
      </w:r>
      <w:r>
        <w:rPr>
          <w:i/>
          <w:sz w:val="22"/>
          <w:szCs w:val="22"/>
        </w:rPr>
        <w:t xml:space="preserve"> dirbantiems bendrojo ugdymo mokyklose ir įstaigose, vykdančiose profesinio mokymo, neformaliojo švietimo programas, išskyrus nurodytas šio priedo 29.1.2.1 ir 29.1.2.2 papunkčiuose, su vienu ar daugiau mokinių, dėl įgimtų ar įgytų sutrikimų turinčių didelių ar labai didelių specialiųjų ugdymosi poreikių;</w:t>
      </w:r>
      <w:bookmarkStart w:id="41" w:name="bookmark=id.19c6y18" w:colFirst="0" w:colLast="0"/>
      <w:bookmarkEnd w:id="41"/>
    </w:p>
    <w:p w:rsidR="005B6508" w:rsidRDefault="00AA030E">
      <w:pPr>
        <w:pBdr>
          <w:top w:val="nil"/>
          <w:left w:val="nil"/>
          <w:bottom w:val="nil"/>
          <w:right w:val="nil"/>
          <w:between w:val="nil"/>
        </w:pBdr>
        <w:spacing w:after="80"/>
        <w:ind w:left="709"/>
        <w:jc w:val="both"/>
        <w:rPr>
          <w:sz w:val="22"/>
          <w:szCs w:val="22"/>
        </w:rPr>
      </w:pPr>
      <w:r>
        <w:rPr>
          <w:i/>
          <w:sz w:val="22"/>
          <w:szCs w:val="22"/>
        </w:rPr>
        <w:t xml:space="preserve">29.1.2. didinami </w:t>
      </w:r>
      <w:r>
        <w:rPr>
          <w:i/>
          <w:sz w:val="22"/>
          <w:szCs w:val="22"/>
          <w:highlight w:val="lightGray"/>
        </w:rPr>
        <w:t>5–20 procentų</w:t>
      </w:r>
      <w:r>
        <w:rPr>
          <w:i/>
          <w:sz w:val="22"/>
          <w:szCs w:val="22"/>
        </w:rPr>
        <w:t xml:space="preserve"> dirbantiems:</w:t>
      </w:r>
      <w:bookmarkStart w:id="42" w:name="bookmark=id.3tbugp1" w:colFirst="0" w:colLast="0"/>
      <w:bookmarkEnd w:id="42"/>
    </w:p>
    <w:p w:rsidR="005B6508" w:rsidRDefault="00AA030E">
      <w:pPr>
        <w:pBdr>
          <w:top w:val="nil"/>
          <w:left w:val="nil"/>
          <w:bottom w:val="nil"/>
          <w:right w:val="nil"/>
          <w:between w:val="nil"/>
        </w:pBdr>
        <w:spacing w:after="80"/>
        <w:ind w:left="709"/>
        <w:jc w:val="both"/>
        <w:rPr>
          <w:sz w:val="22"/>
          <w:szCs w:val="22"/>
        </w:rPr>
      </w:pPr>
      <w:r>
        <w:rPr>
          <w:i/>
          <w:sz w:val="22"/>
          <w:szCs w:val="22"/>
        </w:rPr>
        <w:t>29.1.2.1. mokyklose, skirtose mokiniams, dėl įgimtų ar įgytų sutrikimų turintiems didelių ar labai didelių specialiųjų ugdymosi poreikių;</w:t>
      </w:r>
      <w:bookmarkStart w:id="43" w:name="bookmark=id.28h4qwu" w:colFirst="0" w:colLast="0"/>
      <w:bookmarkEnd w:id="43"/>
    </w:p>
    <w:p w:rsidR="005B6508" w:rsidRDefault="00AA030E">
      <w:pPr>
        <w:pBdr>
          <w:top w:val="nil"/>
          <w:left w:val="nil"/>
          <w:bottom w:val="nil"/>
          <w:right w:val="nil"/>
          <w:between w:val="nil"/>
        </w:pBdr>
        <w:spacing w:after="80"/>
        <w:ind w:left="709"/>
        <w:jc w:val="both"/>
        <w:rPr>
          <w:sz w:val="22"/>
          <w:szCs w:val="22"/>
        </w:rPr>
      </w:pPr>
      <w:r>
        <w:rPr>
          <w:i/>
          <w:sz w:val="22"/>
          <w:szCs w:val="22"/>
        </w:rPr>
        <w:t>29.1.2.2. mokyklose, skirtose mokiniams, dėl nepalankių aplinkos veiksnių turintiems specialiųjų ugdymosi poreikių;</w:t>
      </w:r>
      <w:bookmarkStart w:id="44" w:name="bookmark=id.nmf14n" w:colFirst="0" w:colLast="0"/>
      <w:bookmarkEnd w:id="44"/>
    </w:p>
    <w:p w:rsidR="005B6508" w:rsidRDefault="00AA030E">
      <w:pPr>
        <w:pBdr>
          <w:top w:val="nil"/>
          <w:left w:val="nil"/>
          <w:bottom w:val="nil"/>
          <w:right w:val="nil"/>
          <w:between w:val="nil"/>
        </w:pBdr>
        <w:spacing w:after="80"/>
        <w:ind w:left="709"/>
        <w:jc w:val="both"/>
        <w:rPr>
          <w:sz w:val="22"/>
          <w:szCs w:val="22"/>
        </w:rPr>
      </w:pPr>
      <w:r>
        <w:rPr>
          <w:i/>
          <w:sz w:val="22"/>
          <w:szCs w:val="22"/>
        </w:rPr>
        <w:lastRenderedPageBreak/>
        <w:t>29.1.2.3. socialinės globos įstaigose, skirtose vaikams;</w:t>
      </w:r>
      <w:bookmarkStart w:id="45" w:name="bookmark=id.37m2jsg" w:colFirst="0" w:colLast="0"/>
      <w:bookmarkEnd w:id="45"/>
    </w:p>
    <w:p w:rsidR="005B6508" w:rsidRDefault="00AA030E">
      <w:pPr>
        <w:pBdr>
          <w:top w:val="nil"/>
          <w:left w:val="nil"/>
          <w:bottom w:val="nil"/>
          <w:right w:val="nil"/>
          <w:between w:val="nil"/>
        </w:pBdr>
        <w:spacing w:after="80"/>
        <w:ind w:left="709"/>
        <w:jc w:val="both"/>
        <w:rPr>
          <w:sz w:val="22"/>
          <w:szCs w:val="22"/>
        </w:rPr>
      </w:pPr>
      <w:r>
        <w:rPr>
          <w:i/>
          <w:sz w:val="22"/>
          <w:szCs w:val="22"/>
        </w:rPr>
        <w:t>29.1.2.4. sutrikusio vystymosi kūdikių namuose;</w:t>
      </w:r>
      <w:bookmarkStart w:id="46" w:name="bookmark=id.1mrcu09" w:colFirst="0" w:colLast="0"/>
      <w:bookmarkEnd w:id="46"/>
    </w:p>
    <w:p w:rsidR="005B6508" w:rsidRDefault="00AA030E">
      <w:pPr>
        <w:pBdr>
          <w:top w:val="nil"/>
          <w:left w:val="nil"/>
          <w:bottom w:val="nil"/>
          <w:right w:val="nil"/>
          <w:between w:val="nil"/>
        </w:pBdr>
        <w:spacing w:after="80"/>
        <w:ind w:left="709"/>
        <w:jc w:val="both"/>
        <w:rPr>
          <w:sz w:val="22"/>
          <w:szCs w:val="22"/>
        </w:rPr>
      </w:pPr>
      <w:r>
        <w:rPr>
          <w:i/>
          <w:sz w:val="22"/>
          <w:szCs w:val="22"/>
        </w:rPr>
        <w:t>29.2. didinami 20 procentų specialiesiems pedagogams, logopedams, surdopedagogams, tiflopedagogams, psichologams, socialiniams pedagogams, dirbantiems pedagoginėse psichologinėse tarnybose ar švietimo pagalbos tarnybose;</w:t>
      </w:r>
      <w:bookmarkStart w:id="47" w:name="bookmark=id.46r0co2" w:colFirst="0" w:colLast="0"/>
      <w:bookmarkEnd w:id="47"/>
    </w:p>
    <w:p w:rsidR="005B6508" w:rsidRDefault="00AA030E">
      <w:pPr>
        <w:pBdr>
          <w:top w:val="nil"/>
          <w:left w:val="nil"/>
          <w:bottom w:val="nil"/>
          <w:right w:val="nil"/>
          <w:between w:val="nil"/>
        </w:pBdr>
        <w:spacing w:after="80"/>
        <w:ind w:left="709"/>
        <w:jc w:val="both"/>
        <w:rPr>
          <w:sz w:val="22"/>
          <w:szCs w:val="22"/>
        </w:rPr>
      </w:pPr>
      <w:r>
        <w:rPr>
          <w:i/>
          <w:sz w:val="22"/>
          <w:szCs w:val="22"/>
        </w:rPr>
        <w:t xml:space="preserve">29.3. </w:t>
      </w:r>
      <w:r>
        <w:rPr>
          <w:i/>
          <w:sz w:val="22"/>
          <w:szCs w:val="22"/>
          <w:highlight w:val="lightGray"/>
        </w:rPr>
        <w:t>gali būti didinami iki 20 procentų šiame skyriuje nurodytiems darbuotojams pagal kitus biudžetinės įstaigos darbo apmokėjimo sistemoje nustatytus kriterijus</w:t>
      </w:r>
      <w:r>
        <w:rPr>
          <w:i/>
          <w:sz w:val="22"/>
          <w:szCs w:val="22"/>
        </w:rPr>
        <w:t>.</w:t>
      </w:r>
      <w:bookmarkStart w:id="48" w:name="bookmark=id.2lwamvv" w:colFirst="0" w:colLast="0"/>
      <w:bookmarkEnd w:id="48"/>
    </w:p>
    <w:p w:rsidR="005B6508" w:rsidRDefault="00AA030E">
      <w:pPr>
        <w:pBdr>
          <w:top w:val="nil"/>
          <w:left w:val="nil"/>
          <w:bottom w:val="nil"/>
          <w:right w:val="nil"/>
          <w:between w:val="nil"/>
        </w:pBdr>
        <w:ind w:left="709"/>
        <w:jc w:val="both"/>
        <w:rPr>
          <w:sz w:val="22"/>
          <w:szCs w:val="22"/>
        </w:rPr>
      </w:pPr>
      <w:r>
        <w:rPr>
          <w:i/>
          <w:sz w:val="22"/>
          <w:szCs w:val="22"/>
        </w:rPr>
        <w:t xml:space="preserve">30. Jeigu šiame skyriuje nurodytų darbuotojų veikla atitinka du ar daugiau šio priedo 29 punkte nustatytų kriterijų, jų pareiginės algos koeficientas didinamas ne daugiau kaip 25 procentais. </w:t>
      </w:r>
    </w:p>
    <w:p w:rsidR="005B6508" w:rsidRDefault="005B6508">
      <w:pPr>
        <w:pBdr>
          <w:top w:val="nil"/>
          <w:left w:val="nil"/>
          <w:bottom w:val="nil"/>
          <w:right w:val="nil"/>
          <w:between w:val="nil"/>
        </w:pBdr>
        <w:ind w:left="709"/>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49" w:name="_heading=h.111kx3o" w:colFirst="0" w:colLast="0"/>
      <w:bookmarkEnd w:id="49"/>
      <w:r>
        <w:rPr>
          <w:b/>
          <w:i/>
          <w:sz w:val="22"/>
          <w:szCs w:val="22"/>
        </w:rPr>
        <w:t>Auklėtojų, koncertmeisterių, akompaniatorių pareiginės algos koeficientai dėl veiklos sudėtingumo:</w:t>
      </w:r>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33.1. didinami </w:t>
      </w:r>
      <w:r>
        <w:rPr>
          <w:i/>
          <w:sz w:val="22"/>
          <w:szCs w:val="22"/>
          <w:highlight w:val="lightGray"/>
        </w:rPr>
        <w:t>5–20 procentų</w:t>
      </w:r>
      <w:r>
        <w:rPr>
          <w:i/>
          <w:sz w:val="22"/>
          <w:szCs w:val="22"/>
        </w:rPr>
        <w:t xml:space="preserve"> auklėtojams, dirbantiems:</w:t>
      </w:r>
      <w:bookmarkStart w:id="50" w:name="bookmark=id.3l18frh" w:colFirst="0" w:colLast="0"/>
      <w:bookmarkEnd w:id="50"/>
    </w:p>
    <w:p w:rsidR="005B6508" w:rsidRDefault="00AA030E">
      <w:pPr>
        <w:pBdr>
          <w:top w:val="nil"/>
          <w:left w:val="nil"/>
          <w:bottom w:val="nil"/>
          <w:right w:val="nil"/>
          <w:between w:val="nil"/>
        </w:pBdr>
        <w:spacing w:after="80"/>
        <w:ind w:left="709" w:firstLine="10"/>
        <w:jc w:val="both"/>
        <w:rPr>
          <w:sz w:val="22"/>
          <w:szCs w:val="22"/>
        </w:rPr>
      </w:pPr>
      <w:r>
        <w:rPr>
          <w:i/>
          <w:sz w:val="22"/>
          <w:szCs w:val="22"/>
        </w:rPr>
        <w:t>33.1.1. bendrojo ugdymo mokyklose, išskyrus šio priedo 33.1.2 ir 33.1.3 papunkčiuose nurodytas mokyklas, profesinio mokymo įstaigose, kurių klasėje (grupėje) ugdomi 2 ar daugiau mokinių, dėl įgimtų ar įgytų sutrikimų turinčių vidutinių specialiųjų ugdymosi poreikių, ir (arba) vienas ar daugiau mokinių, dėl įgimtų ar įgytų sutrikimų turinčių didelių ar labai didelių specialiųjų ugdymosi poreikių;</w:t>
      </w:r>
      <w:bookmarkStart w:id="51" w:name="bookmark=id.206ipza" w:colFirst="0" w:colLast="0"/>
      <w:bookmarkEnd w:id="51"/>
    </w:p>
    <w:p w:rsidR="005B6508" w:rsidRDefault="00AA030E">
      <w:pPr>
        <w:pBdr>
          <w:top w:val="nil"/>
          <w:left w:val="nil"/>
          <w:bottom w:val="nil"/>
          <w:right w:val="nil"/>
          <w:between w:val="nil"/>
        </w:pBdr>
        <w:ind w:left="709" w:firstLine="10"/>
        <w:jc w:val="both"/>
        <w:rPr>
          <w:sz w:val="22"/>
          <w:szCs w:val="22"/>
        </w:rPr>
      </w:pPr>
      <w:r>
        <w:rPr>
          <w:i/>
          <w:sz w:val="22"/>
          <w:szCs w:val="22"/>
        </w:rPr>
        <w:t>33.1.2. mokyklose (grupėse), skirtose mokiniams, dėl įgimtų ar įgytų sutrikimų turintiems didelių ar labai didelių specialiųjų ugdymosi poreikių;</w:t>
      </w:r>
      <w:bookmarkStart w:id="52" w:name="bookmark=id.4k668n3" w:colFirst="0" w:colLast="0"/>
      <w:bookmarkEnd w:id="52"/>
    </w:p>
    <w:p w:rsidR="005B6508" w:rsidRDefault="00AA030E">
      <w:pPr>
        <w:pBdr>
          <w:top w:val="nil"/>
          <w:left w:val="nil"/>
          <w:bottom w:val="nil"/>
          <w:right w:val="nil"/>
          <w:between w:val="nil"/>
        </w:pBdr>
        <w:spacing w:after="80"/>
        <w:ind w:left="709" w:firstLine="10"/>
        <w:jc w:val="both"/>
        <w:rPr>
          <w:sz w:val="22"/>
          <w:szCs w:val="22"/>
        </w:rPr>
      </w:pPr>
      <w:r>
        <w:rPr>
          <w:i/>
          <w:sz w:val="22"/>
          <w:szCs w:val="22"/>
        </w:rPr>
        <w:t>33.1.3. mokyklose, skirtose mokiniams, dėl nepalankių aplinkos veiksnių turintiems specialiųjų ugdymosi poreikių;</w:t>
      </w:r>
      <w:bookmarkStart w:id="53" w:name="bookmark=id.2zbgiuw" w:colFirst="0" w:colLast="0"/>
      <w:bookmarkEnd w:id="53"/>
    </w:p>
    <w:p w:rsidR="005B6508" w:rsidRDefault="00AA030E">
      <w:pPr>
        <w:pBdr>
          <w:top w:val="nil"/>
          <w:left w:val="nil"/>
          <w:bottom w:val="nil"/>
          <w:right w:val="nil"/>
          <w:between w:val="nil"/>
        </w:pBdr>
        <w:spacing w:after="80"/>
        <w:ind w:left="709" w:firstLine="10"/>
        <w:jc w:val="both"/>
        <w:rPr>
          <w:sz w:val="22"/>
          <w:szCs w:val="22"/>
        </w:rPr>
      </w:pPr>
      <w:r>
        <w:rPr>
          <w:i/>
          <w:sz w:val="22"/>
          <w:szCs w:val="22"/>
        </w:rPr>
        <w:t>33.1.4. profesinio mokymo įstaigose (grupėse), skirtose mokiniams, turintiems specialiųjų ugdymosi poreikių;</w:t>
      </w:r>
      <w:bookmarkStart w:id="54" w:name="bookmark=id.1egqt2p" w:colFirst="0" w:colLast="0"/>
      <w:bookmarkEnd w:id="54"/>
    </w:p>
    <w:p w:rsidR="005B6508" w:rsidRDefault="00AA030E">
      <w:pPr>
        <w:pBdr>
          <w:top w:val="nil"/>
          <w:left w:val="nil"/>
          <w:bottom w:val="nil"/>
          <w:right w:val="nil"/>
          <w:between w:val="nil"/>
        </w:pBdr>
        <w:spacing w:after="80"/>
        <w:ind w:left="709" w:firstLine="10"/>
        <w:jc w:val="both"/>
        <w:rPr>
          <w:sz w:val="22"/>
          <w:szCs w:val="22"/>
        </w:rPr>
      </w:pPr>
      <w:r>
        <w:rPr>
          <w:i/>
          <w:sz w:val="22"/>
          <w:szCs w:val="22"/>
        </w:rPr>
        <w:t>33.1.5. socialinės globos įstaigose, skirtose vaikams;</w:t>
      </w:r>
      <w:bookmarkStart w:id="55" w:name="bookmark=id.3ygebqi" w:colFirst="0" w:colLast="0"/>
      <w:bookmarkEnd w:id="55"/>
    </w:p>
    <w:p w:rsidR="005B6508" w:rsidRDefault="00AA030E">
      <w:pPr>
        <w:pBdr>
          <w:top w:val="nil"/>
          <w:left w:val="nil"/>
          <w:bottom w:val="nil"/>
          <w:right w:val="nil"/>
          <w:between w:val="nil"/>
        </w:pBdr>
        <w:spacing w:after="80"/>
        <w:ind w:left="709" w:firstLine="10"/>
        <w:jc w:val="both"/>
        <w:rPr>
          <w:sz w:val="22"/>
          <w:szCs w:val="22"/>
        </w:rPr>
      </w:pPr>
      <w:r>
        <w:rPr>
          <w:i/>
          <w:sz w:val="22"/>
          <w:szCs w:val="22"/>
        </w:rPr>
        <w:t>33.1.6. sutrikusio vystymosi kūdikių namuose;</w:t>
      </w:r>
      <w:bookmarkStart w:id="56" w:name="bookmark=id.2dlolyb" w:colFirst="0" w:colLast="0"/>
      <w:bookmarkEnd w:id="56"/>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33.2. </w:t>
      </w:r>
      <w:r>
        <w:rPr>
          <w:i/>
          <w:sz w:val="22"/>
          <w:szCs w:val="22"/>
          <w:highlight w:val="lightGray"/>
        </w:rPr>
        <w:t>gali būti didinami iki 20 procentų auklėtojams, koncertmeisteriams, akompaniatoriams pagal kitus biudžetinės įstaigos darbo apmokėjimo sistemoje nustatytus kriterijus</w:t>
      </w:r>
      <w:r>
        <w:rPr>
          <w:i/>
          <w:sz w:val="22"/>
          <w:szCs w:val="22"/>
        </w:rPr>
        <w:t>.</w:t>
      </w:r>
      <w:bookmarkStart w:id="57" w:name="bookmark=id.sqyw64" w:colFirst="0" w:colLast="0"/>
      <w:bookmarkEnd w:id="57"/>
    </w:p>
    <w:p w:rsidR="005B6508" w:rsidRDefault="00AA030E">
      <w:pPr>
        <w:pBdr>
          <w:top w:val="nil"/>
          <w:left w:val="nil"/>
          <w:bottom w:val="nil"/>
          <w:right w:val="nil"/>
          <w:between w:val="nil"/>
        </w:pBdr>
        <w:ind w:left="709" w:firstLine="10"/>
        <w:jc w:val="both"/>
        <w:rPr>
          <w:sz w:val="22"/>
          <w:szCs w:val="22"/>
        </w:rPr>
      </w:pPr>
      <w:r>
        <w:rPr>
          <w:i/>
          <w:sz w:val="22"/>
          <w:szCs w:val="22"/>
        </w:rPr>
        <w:t>34. Jeigu auklėtojo veikla atitinka du ar daugiau šio priedo 33 punkte nustatytų kriterijų, jo pareiginės algos koeficientas didinamas ne daugiau kaip 25 procentais.</w:t>
      </w:r>
    </w:p>
    <w:p w:rsidR="005B6508" w:rsidRDefault="005B6508">
      <w:pPr>
        <w:widowControl w:val="0"/>
        <w:pBdr>
          <w:top w:val="nil"/>
          <w:left w:val="nil"/>
          <w:bottom w:val="nil"/>
          <w:right w:val="nil"/>
          <w:between w:val="nil"/>
        </w:pBdr>
        <w:spacing w:after="80"/>
        <w:ind w:left="36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bookmarkStart w:id="58" w:name="_heading=h.3cqmetx" w:colFirst="0" w:colLast="0"/>
      <w:bookmarkEnd w:id="58"/>
      <w:r>
        <w:rPr>
          <w:b/>
          <w:i/>
          <w:sz w:val="22"/>
          <w:szCs w:val="22"/>
        </w:rPr>
        <w:t>Kitų aukščiau nenurodytų pagalbos mokiniui specialistų pareiginės algos koeficientai dėl veiklos sudėtingumo:</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39. Pagalbos mokiniui specialistams, kuriems suteiktos kvalifikacinės kategorijos, pareiginės algos koeficientai didinami: už eksperto kvalifikacinę kategoriją – 30 procentų, už metodininko kvalifikacinę kategoriją – 20 procentų, už vyresniojo pagalbos mokiniui specialisto kvalifikacinę kategoriją – 10 procentų.</w:t>
      </w:r>
      <w:bookmarkStart w:id="59" w:name="bookmark=id.1rvwp1q" w:colFirst="0" w:colLast="0"/>
      <w:bookmarkEnd w:id="59"/>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40. Pareiginės algos koeficientai dėl veiklos sudėtingumo pagalbos mokiniui specialistams:</w:t>
      </w:r>
      <w:bookmarkStart w:id="60" w:name="bookmark=id.4bvk7pj" w:colFirst="0" w:colLast="0"/>
      <w:bookmarkEnd w:id="60"/>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40.1. </w:t>
      </w:r>
      <w:r>
        <w:rPr>
          <w:i/>
          <w:sz w:val="22"/>
          <w:szCs w:val="22"/>
          <w:highlight w:val="lightGray"/>
        </w:rPr>
        <w:t>didinami 5–10 procentų</w:t>
      </w:r>
      <w:r>
        <w:rPr>
          <w:i/>
          <w:sz w:val="22"/>
          <w:szCs w:val="22"/>
        </w:rPr>
        <w:t>:</w:t>
      </w:r>
      <w:bookmarkStart w:id="61" w:name="bookmark=id.2r0uhxc" w:colFirst="0" w:colLast="0"/>
      <w:bookmarkEnd w:id="61"/>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40.1.1. dirbantiems mokyklose, skirtose mokiniams, dėl įgimtų ar įgytų sutrikimų turintiems didelių ar labai didelių specialiųjų ugdymosi poreikių;</w:t>
      </w:r>
      <w:bookmarkStart w:id="62" w:name="bookmark=id.1664s55" w:colFirst="0" w:colLast="0"/>
      <w:bookmarkEnd w:id="62"/>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40.1.2. dirbantiems mokyklose, skirtose mokiniams, dėl nepalankių aplinkos veiksnių turintiems specialiųjų ugdymosi poreikių;</w:t>
      </w:r>
      <w:bookmarkStart w:id="63" w:name="bookmark=id.3q5sasy" w:colFirst="0" w:colLast="0"/>
      <w:bookmarkEnd w:id="63"/>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40.1.3. dirbantiems sutrikusio vystymosi kūdikių namuose;</w:t>
      </w:r>
      <w:bookmarkStart w:id="64" w:name="bookmark=id.25b2l0r" w:colFirst="0" w:colLast="0"/>
      <w:bookmarkEnd w:id="64"/>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40.2. </w:t>
      </w:r>
      <w:r>
        <w:rPr>
          <w:i/>
          <w:sz w:val="22"/>
          <w:szCs w:val="22"/>
          <w:highlight w:val="lightGray"/>
        </w:rPr>
        <w:t>gali būti didinami iki 20 procentų pagal kitus biudžetinės įstaigos darbo apmokėjimo sistemoje nustatytus kriterijus</w:t>
      </w:r>
      <w:r>
        <w:rPr>
          <w:i/>
          <w:sz w:val="22"/>
          <w:szCs w:val="22"/>
        </w:rPr>
        <w:t>.</w:t>
      </w:r>
      <w:bookmarkStart w:id="65" w:name="bookmark=id.kgcv8k" w:colFirst="0" w:colLast="0"/>
      <w:bookmarkEnd w:id="65"/>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41. Jeigu pagalbos mokiniui specialisto veikla atitinka du ar daugiau šio priedo 40 punkte nustatytų kriterijų, jo pareiginės algos koeficientas didinamas ne daugiau kaip 25 procentais.</w:t>
      </w:r>
    </w:p>
    <w:p w:rsidR="005B6508" w:rsidRDefault="005B6508">
      <w:pPr>
        <w:widowControl w:val="0"/>
        <w:pBdr>
          <w:top w:val="nil"/>
          <w:left w:val="nil"/>
          <w:bottom w:val="nil"/>
          <w:right w:val="nil"/>
          <w:between w:val="nil"/>
        </w:pBdr>
        <w:spacing w:after="80"/>
        <w:ind w:firstLine="72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r>
        <w:rPr>
          <w:b/>
          <w:i/>
          <w:sz w:val="22"/>
          <w:szCs w:val="22"/>
        </w:rPr>
        <w:t>Pavaduotojų ugdymui pareiginės algos koeficientai dėl veiklos sudėtingumo:</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44.1. didinami </w:t>
      </w:r>
      <w:r>
        <w:rPr>
          <w:i/>
          <w:sz w:val="22"/>
          <w:szCs w:val="22"/>
          <w:highlight w:val="lightGray"/>
        </w:rPr>
        <w:t>5–10 procentų</w:t>
      </w:r>
      <w:r>
        <w:rPr>
          <w:i/>
          <w:sz w:val="22"/>
          <w:szCs w:val="22"/>
        </w:rPr>
        <w:t>:</w:t>
      </w:r>
      <w:bookmarkStart w:id="66" w:name="bookmark=id.34g0dwd" w:colFirst="0" w:colLast="0"/>
      <w:bookmarkEnd w:id="66"/>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lastRenderedPageBreak/>
        <w:t>44.1.1. ikimokyklinio ugdymo mokyklų, bendrojo ugdymo mokyklų, išskyrus šio priedo 44.2.1 ir 44.2.2 papunkčiuose nurodytas mokyklas, profesinio mokymo įstaigų vadovams ir jų pavaduotojams ugdymui, atsakingiems už mokinių, turinčių specialiųjų ugdymosi poreikių, ugdymo organizavimą, jeigu šiose įstaigose ugdoma (mokoma) 10 ar daugiau mokinių, dėl įgimtų ar įgytų sutrikimų turinčių didelių ar labai didelių specialiųjų ugdymosi poreikių;</w:t>
      </w:r>
      <w:bookmarkStart w:id="67" w:name="bookmark=id.1jlao46" w:colFirst="0" w:colLast="0"/>
      <w:bookmarkEnd w:id="67"/>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44.1.2. mokyklų vadovams ir jų pavaduotojams ugdymui, jeigu mokykloje ugdoma (mokoma) 10 ar daugiau užsieniečių arba Lietuvos Respublikos piliečių, atvykusių gyventi į Lietuvos Respubliką, nemokančių valstybinės kalbos, dvejus metus nuo mokinio mokymosi pagal bendrojo ugdymo ir profesinio mokymo programas pradžios Lietuvos Respublikoje;</w:t>
      </w:r>
      <w:bookmarkStart w:id="68" w:name="bookmark=id.43ky6rz" w:colFirst="0" w:colLast="0"/>
      <w:bookmarkEnd w:id="68"/>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44.2. didinami </w:t>
      </w:r>
      <w:r>
        <w:rPr>
          <w:i/>
          <w:sz w:val="22"/>
          <w:szCs w:val="22"/>
          <w:highlight w:val="lightGray"/>
        </w:rPr>
        <w:t>5–20 procentų</w:t>
      </w:r>
      <w:r>
        <w:rPr>
          <w:i/>
          <w:sz w:val="22"/>
          <w:szCs w:val="22"/>
        </w:rPr>
        <w:t xml:space="preserve"> mokyklų vadovams ir jų pavaduotojams ugdymui:</w:t>
      </w:r>
      <w:bookmarkStart w:id="69" w:name="bookmark=id.2iq8gzs" w:colFirst="0" w:colLast="0"/>
      <w:bookmarkEnd w:id="69"/>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44.2.1. dirbantiems mokyklose, skirtose mokiniams, dėl įgimtų ar įgytų sutrikimų turintiems didelių ar labai didelių specialiųjų ugdymosi poreikių, ar mokyklose, turinčiose padalinių, skirtų mokiniams, dėl įgimtų ar įgytų sutrikimų turintiems didelių ar labai didelių specialiųjų ugdymosi poreikių;</w:t>
      </w:r>
      <w:bookmarkStart w:id="70" w:name="bookmark=id.xvir7l" w:colFirst="0" w:colLast="0"/>
      <w:bookmarkEnd w:id="70"/>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44.2.2. dirbantiems mokyklose, skirtose mokiniams, dėl nepalankių aplinkos veiksnių turintiems specialiųjų ugdymosi poreikių;</w:t>
      </w:r>
      <w:bookmarkStart w:id="71" w:name="bookmark=id.3hv69ve" w:colFirst="0" w:colLast="0"/>
      <w:bookmarkEnd w:id="71"/>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 xml:space="preserve">44.4. </w:t>
      </w:r>
      <w:r>
        <w:rPr>
          <w:i/>
          <w:sz w:val="22"/>
          <w:szCs w:val="22"/>
          <w:highlight w:val="lightGray"/>
        </w:rPr>
        <w:t>gali būti didinami iki 20 procentų mokyklų vadovų pavaduotojams ugdymui pagal kitus biudžetinės įstaigos darbo apmokėjimo sistemoje nustatytus kriterijus</w:t>
      </w:r>
      <w:r>
        <w:rPr>
          <w:i/>
          <w:sz w:val="22"/>
          <w:szCs w:val="22"/>
        </w:rPr>
        <w:t>.</w:t>
      </w:r>
      <w:bookmarkStart w:id="72" w:name="bookmark=id.1x0gk37" w:colFirst="0" w:colLast="0"/>
      <w:bookmarkEnd w:id="72"/>
    </w:p>
    <w:p w:rsidR="005B6508" w:rsidRDefault="00AA030E">
      <w:pPr>
        <w:widowControl w:val="0"/>
        <w:pBdr>
          <w:top w:val="nil"/>
          <w:left w:val="nil"/>
          <w:bottom w:val="nil"/>
          <w:right w:val="nil"/>
          <w:between w:val="nil"/>
        </w:pBdr>
        <w:spacing w:after="80"/>
        <w:ind w:left="851" w:hanging="142"/>
        <w:jc w:val="both"/>
        <w:rPr>
          <w:sz w:val="22"/>
          <w:szCs w:val="22"/>
        </w:rPr>
      </w:pPr>
      <w:r>
        <w:rPr>
          <w:i/>
          <w:sz w:val="22"/>
          <w:szCs w:val="22"/>
        </w:rPr>
        <w:t xml:space="preserve">45. Jeigu mokyklos vadovo ar jo pavaduotojo ugdymui veikla atitinka du ar daugiau šio priedo 44 punkte nustatytų kriterijų, jo pareiginės algos koeficientas didinamas ne daugiau kaip 25 procentais. </w:t>
      </w:r>
    </w:p>
    <w:p w:rsidR="005B6508" w:rsidRDefault="005B6508">
      <w:pPr>
        <w:widowControl w:val="0"/>
        <w:pBdr>
          <w:top w:val="nil"/>
          <w:left w:val="nil"/>
          <w:bottom w:val="nil"/>
          <w:right w:val="nil"/>
          <w:between w:val="nil"/>
        </w:pBdr>
        <w:spacing w:after="80"/>
        <w:ind w:firstLine="720"/>
        <w:jc w:val="both"/>
        <w:rPr>
          <w:sz w:val="22"/>
          <w:szCs w:val="22"/>
        </w:rPr>
      </w:pPr>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r>
        <w:rPr>
          <w:b/>
          <w:i/>
          <w:sz w:val="22"/>
          <w:szCs w:val="22"/>
        </w:rPr>
        <w:t>Mokyklų ugdymą organizuojančių skyrių vedėjų pareiginės algos koeficientai dėl veiklos sudėtingumo:</w:t>
      </w:r>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48.1. didinami </w:t>
      </w:r>
      <w:r>
        <w:rPr>
          <w:i/>
          <w:sz w:val="22"/>
          <w:szCs w:val="22"/>
          <w:highlight w:val="lightGray"/>
        </w:rPr>
        <w:t>5–10 procentų</w:t>
      </w:r>
      <w:r>
        <w:rPr>
          <w:i/>
          <w:sz w:val="22"/>
          <w:szCs w:val="22"/>
        </w:rPr>
        <w:t>:</w:t>
      </w:r>
      <w:bookmarkStart w:id="73" w:name="bookmark=id.4h042r0" w:colFirst="0" w:colLast="0"/>
      <w:bookmarkEnd w:id="73"/>
    </w:p>
    <w:p w:rsidR="005B6508" w:rsidRDefault="00AA030E">
      <w:pPr>
        <w:pBdr>
          <w:top w:val="nil"/>
          <w:left w:val="nil"/>
          <w:bottom w:val="nil"/>
          <w:right w:val="nil"/>
          <w:between w:val="nil"/>
        </w:pBdr>
        <w:spacing w:after="80"/>
        <w:ind w:left="709" w:firstLine="10"/>
        <w:jc w:val="both"/>
        <w:rPr>
          <w:sz w:val="22"/>
          <w:szCs w:val="22"/>
        </w:rPr>
      </w:pPr>
      <w:r>
        <w:rPr>
          <w:i/>
          <w:sz w:val="22"/>
          <w:szCs w:val="22"/>
        </w:rPr>
        <w:t>48.1.1. ikimokyklinio ugdymo mokyklų, bendrojo ugdymo mokyklų, išskyrus šio priedo 48.2.1 ir 48.2.2 papunkčiuose nurodytas mokyklas, profesinio mokymo įstaigų ugdymą organizuojančių skyrių vedėjams, atsakingiems už mokinių, turinčių specialiųjų ugdymosi poreikių, ugdymo organizavimą, arba jeigu skyriuje ugdoma (mokoma) 5 ar daugiau mokinių, dėl įgimtų ar įgytų sutrikimų turinčių didelių ar labai didelių specialiųjų ugdymosi poreikių;</w:t>
      </w:r>
      <w:bookmarkStart w:id="74" w:name="bookmark=id.2w5ecyt" w:colFirst="0" w:colLast="0"/>
      <w:bookmarkEnd w:id="74"/>
    </w:p>
    <w:p w:rsidR="005B6508" w:rsidRDefault="00AA030E">
      <w:pPr>
        <w:pBdr>
          <w:top w:val="nil"/>
          <w:left w:val="nil"/>
          <w:bottom w:val="nil"/>
          <w:right w:val="nil"/>
          <w:between w:val="nil"/>
        </w:pBdr>
        <w:spacing w:after="80"/>
        <w:ind w:left="709" w:firstLine="10"/>
        <w:jc w:val="both"/>
        <w:rPr>
          <w:sz w:val="22"/>
          <w:szCs w:val="22"/>
        </w:rPr>
      </w:pPr>
      <w:r>
        <w:rPr>
          <w:i/>
          <w:sz w:val="22"/>
          <w:szCs w:val="22"/>
        </w:rPr>
        <w:t>48.1.2. mokyklų ugdymą organizuojančių skyrių vedėjams, jeigu skyriuje ugdoma (mokoma) 5 ar daugiau užsieniečių arba Lietuvos Respublikos piliečių, atvykusių gyventi į Lietuvos Respubliką, nemokančių valstybinės kalbos, dvejus metus nuo mokinio mokymosi pagal bendrojo ugdymo ir profesinio mokymo programas pradžios Lietuvos Respublikoje;</w:t>
      </w:r>
      <w:bookmarkStart w:id="75" w:name="bookmark=id.1baon6m" w:colFirst="0" w:colLast="0"/>
      <w:bookmarkEnd w:id="75"/>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48.2. didinami </w:t>
      </w:r>
      <w:r>
        <w:rPr>
          <w:i/>
          <w:sz w:val="22"/>
          <w:szCs w:val="22"/>
          <w:highlight w:val="lightGray"/>
        </w:rPr>
        <w:t>5–20 procentų</w:t>
      </w:r>
      <w:r>
        <w:rPr>
          <w:i/>
          <w:sz w:val="22"/>
          <w:szCs w:val="22"/>
        </w:rPr>
        <w:t xml:space="preserve"> mokyklų ugdymą organizuojančių skyrių vedėjams:</w:t>
      </w:r>
      <w:bookmarkStart w:id="76" w:name="bookmark=id.3vac5uf" w:colFirst="0" w:colLast="0"/>
      <w:bookmarkEnd w:id="76"/>
    </w:p>
    <w:p w:rsidR="005B6508" w:rsidRDefault="00AA030E">
      <w:pPr>
        <w:pBdr>
          <w:top w:val="nil"/>
          <w:left w:val="nil"/>
          <w:bottom w:val="nil"/>
          <w:right w:val="nil"/>
          <w:between w:val="nil"/>
        </w:pBdr>
        <w:spacing w:after="80"/>
        <w:ind w:left="709" w:firstLine="10"/>
        <w:jc w:val="both"/>
        <w:rPr>
          <w:sz w:val="22"/>
          <w:szCs w:val="22"/>
        </w:rPr>
      </w:pPr>
      <w:r>
        <w:rPr>
          <w:i/>
          <w:sz w:val="22"/>
          <w:szCs w:val="22"/>
        </w:rPr>
        <w:t>48.2.1. dirbantiems mokyklose, skirtose mokiniams, dėl įgimtų ar įgytų sutrikimų turintiems didelių ar labai didelių specialiųjų ugdymosi poreikių;</w:t>
      </w:r>
      <w:bookmarkStart w:id="77" w:name="bookmark=id.2afmg28" w:colFirst="0" w:colLast="0"/>
      <w:bookmarkEnd w:id="77"/>
    </w:p>
    <w:p w:rsidR="005B6508" w:rsidRDefault="00AA030E">
      <w:pPr>
        <w:pBdr>
          <w:top w:val="nil"/>
          <w:left w:val="nil"/>
          <w:bottom w:val="nil"/>
          <w:right w:val="nil"/>
          <w:between w:val="nil"/>
        </w:pBdr>
        <w:spacing w:after="80"/>
        <w:ind w:left="709" w:firstLine="10"/>
        <w:jc w:val="both"/>
        <w:rPr>
          <w:sz w:val="22"/>
          <w:szCs w:val="22"/>
        </w:rPr>
      </w:pPr>
      <w:r>
        <w:rPr>
          <w:i/>
          <w:sz w:val="22"/>
          <w:szCs w:val="22"/>
        </w:rPr>
        <w:t>48.2.2. dirbantiems mokyklose, skirtose mokiniams, dėl nepalankių aplinkos veiksnių turintiems specialiųjų ugdymosi poreikių;</w:t>
      </w:r>
      <w:bookmarkStart w:id="78" w:name="bookmark=id.pkwqa1" w:colFirst="0" w:colLast="0"/>
      <w:bookmarkEnd w:id="78"/>
    </w:p>
    <w:p w:rsidR="005B6508" w:rsidRDefault="00AA030E">
      <w:pPr>
        <w:pBdr>
          <w:top w:val="nil"/>
          <w:left w:val="nil"/>
          <w:bottom w:val="nil"/>
          <w:right w:val="nil"/>
          <w:between w:val="nil"/>
        </w:pBdr>
        <w:spacing w:after="80"/>
        <w:ind w:left="709" w:firstLine="10"/>
        <w:jc w:val="both"/>
        <w:rPr>
          <w:sz w:val="22"/>
          <w:szCs w:val="22"/>
        </w:rPr>
      </w:pPr>
      <w:r>
        <w:rPr>
          <w:i/>
          <w:sz w:val="22"/>
          <w:szCs w:val="22"/>
        </w:rPr>
        <w:t>48.2.3. dirbantiems profesinio mokymo įstaigų skyriuose, skirtuose specialiųjų ugdymosi poreikių turintiems mokiniams;</w:t>
      </w:r>
      <w:bookmarkStart w:id="79" w:name="bookmark=id.39kk8xu" w:colFirst="0" w:colLast="0"/>
      <w:bookmarkEnd w:id="79"/>
    </w:p>
    <w:p w:rsidR="005B6508" w:rsidRDefault="00AA030E">
      <w:pPr>
        <w:pBdr>
          <w:top w:val="nil"/>
          <w:left w:val="nil"/>
          <w:bottom w:val="nil"/>
          <w:right w:val="nil"/>
          <w:between w:val="nil"/>
        </w:pBdr>
        <w:spacing w:after="80"/>
        <w:ind w:left="709" w:firstLine="10"/>
        <w:jc w:val="both"/>
        <w:rPr>
          <w:sz w:val="22"/>
          <w:szCs w:val="22"/>
        </w:rPr>
      </w:pPr>
      <w:r>
        <w:rPr>
          <w:i/>
          <w:sz w:val="22"/>
          <w:szCs w:val="22"/>
        </w:rPr>
        <w:t xml:space="preserve">48.3. </w:t>
      </w:r>
      <w:r>
        <w:rPr>
          <w:i/>
          <w:sz w:val="22"/>
          <w:szCs w:val="22"/>
          <w:highlight w:val="lightGray"/>
        </w:rPr>
        <w:t>gali būti didinami iki 20 procentų ugdymą organizuojančių skyrių vedėjams pagal kitus biudžetinės įstaigos darbo apmokėjimo sistemoje nustatytus kriterijus</w:t>
      </w:r>
      <w:r>
        <w:rPr>
          <w:i/>
          <w:sz w:val="22"/>
          <w:szCs w:val="22"/>
        </w:rPr>
        <w:t>.</w:t>
      </w:r>
      <w:bookmarkStart w:id="80" w:name="bookmark=id.1opuj5n" w:colFirst="0" w:colLast="0"/>
      <w:bookmarkEnd w:id="80"/>
    </w:p>
    <w:p w:rsidR="005B6508" w:rsidRDefault="00AA030E" w:rsidP="00551454">
      <w:pPr>
        <w:pBdr>
          <w:top w:val="nil"/>
          <w:left w:val="nil"/>
          <w:bottom w:val="nil"/>
          <w:right w:val="nil"/>
          <w:between w:val="nil"/>
        </w:pBdr>
        <w:ind w:left="709" w:firstLine="10"/>
        <w:jc w:val="both"/>
        <w:rPr>
          <w:sz w:val="22"/>
          <w:szCs w:val="22"/>
        </w:rPr>
      </w:pPr>
      <w:r>
        <w:rPr>
          <w:i/>
          <w:sz w:val="22"/>
          <w:szCs w:val="22"/>
        </w:rPr>
        <w:t xml:space="preserve">49. Jeigu mokyklų ugdymą organizuojančių skyrių vedėjų veikla atitinka du ar daugiau šio priedo 48 punkte nustatytų kriterijų, jų pareiginės algos koeficientas didinamas ne daugiau kaip 25 procentais. </w:t>
      </w:r>
      <w:bookmarkStart w:id="81" w:name="_GoBack"/>
      <w:bookmarkEnd w:id="81"/>
    </w:p>
    <w:p w:rsidR="005B6508" w:rsidRDefault="00AA030E">
      <w:pPr>
        <w:widowControl w:val="0"/>
        <w:numPr>
          <w:ilvl w:val="0"/>
          <w:numId w:val="2"/>
        </w:numPr>
        <w:pBdr>
          <w:top w:val="nil"/>
          <w:left w:val="nil"/>
          <w:bottom w:val="nil"/>
          <w:right w:val="nil"/>
          <w:between w:val="nil"/>
        </w:pBdr>
        <w:spacing w:after="80"/>
        <w:ind w:hanging="720"/>
        <w:jc w:val="both"/>
        <w:rPr>
          <w:sz w:val="22"/>
          <w:szCs w:val="22"/>
        </w:rPr>
      </w:pPr>
      <w:r>
        <w:rPr>
          <w:b/>
          <w:i/>
          <w:sz w:val="22"/>
          <w:szCs w:val="22"/>
        </w:rPr>
        <w:t>Švietimo pagalbos įstaigų vadovų pavaduotojų ir skyrių vedėjų, kurių darbas laikomas pedagoginiu, pareiginės algos koeficientai dėl veiklos sudėtingumo:</w:t>
      </w:r>
    </w:p>
    <w:p w:rsidR="005B6508" w:rsidRDefault="00AA030E">
      <w:pPr>
        <w:widowControl w:val="0"/>
        <w:pBdr>
          <w:top w:val="nil"/>
          <w:left w:val="nil"/>
          <w:bottom w:val="nil"/>
          <w:right w:val="nil"/>
          <w:between w:val="nil"/>
        </w:pBdr>
        <w:spacing w:after="80"/>
        <w:ind w:left="709" w:firstLine="10"/>
        <w:jc w:val="both"/>
        <w:rPr>
          <w:sz w:val="22"/>
          <w:szCs w:val="22"/>
        </w:rPr>
      </w:pPr>
      <w:r>
        <w:rPr>
          <w:i/>
          <w:sz w:val="22"/>
          <w:szCs w:val="22"/>
        </w:rPr>
        <w:t>52. Pareiginės algos koeficientai švietimo pagalbos įstaigų vadovų pavaduotojams ir skyrių vedėjams, kurių darbas laikomas pedagoginiu, gali būti didinami dėl veiklos sudėtingumo pagal biudžetinės įstaigos darbo apmokėjimo sistemoje nustatytus kriterijus. Jeigu švietimo pagalbos įstaigos vadovo, jo pavaduotojo, kurio darbas laikomas pedagoginiu, ar skyriaus vedėjo, kurio darbas laikomas pedagoginiu, veikla atitinka vieną veiklos sudėtingumo kriterijų, jo pareiginės algos koeficientas gali būti didinamas ne daugiau kaip 20 procentų, jeigu veikla atitinka du ar daugiau veiklos sudėtingumo kriterijų, – ne daugiau kaip 25 procentais.]</w:t>
      </w:r>
    </w:p>
    <w:p w:rsidR="005B6508" w:rsidRDefault="005B6508">
      <w:pPr>
        <w:widowControl w:val="0"/>
        <w:pBdr>
          <w:top w:val="nil"/>
          <w:left w:val="nil"/>
          <w:bottom w:val="nil"/>
          <w:right w:val="nil"/>
          <w:between w:val="nil"/>
        </w:pBdr>
        <w:spacing w:after="80"/>
        <w:ind w:left="709" w:firstLine="10"/>
        <w:jc w:val="both"/>
        <w:rPr>
          <w:color w:val="0070C0"/>
        </w:rPr>
      </w:pPr>
    </w:p>
    <w:sectPr w:rsidR="005B6508">
      <w:headerReference w:type="even" r:id="rId8"/>
      <w:pgSz w:w="11907" w:h="16839"/>
      <w:pgMar w:top="1134" w:right="708" w:bottom="1134" w:left="1134"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F5F" w:rsidRDefault="00E71F5F">
      <w:r>
        <w:separator/>
      </w:r>
    </w:p>
  </w:endnote>
  <w:endnote w:type="continuationSeparator" w:id="0">
    <w:p w:rsidR="00E71F5F" w:rsidRDefault="00E7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F5F" w:rsidRDefault="00E71F5F">
      <w:r>
        <w:separator/>
      </w:r>
    </w:p>
  </w:footnote>
  <w:footnote w:type="continuationSeparator" w:id="0">
    <w:p w:rsidR="00E71F5F" w:rsidRDefault="00E71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08" w:rsidRDefault="00AA030E">
    <w:pPr>
      <w:pBdr>
        <w:top w:val="nil"/>
        <w:left w:val="nil"/>
        <w:bottom w:val="nil"/>
        <w:right w:val="nil"/>
        <w:between w:val="nil"/>
      </w:pBdr>
      <w:ind w:firstLine="720"/>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5B6508" w:rsidRDefault="005B6508">
    <w:pPr>
      <w:pBdr>
        <w:top w:val="nil"/>
        <w:left w:val="nil"/>
        <w:bottom w:val="nil"/>
        <w:right w:val="nil"/>
        <w:between w:val="nil"/>
      </w:pBdr>
      <w:ind w:firstLine="720"/>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A6D88"/>
    <w:multiLevelType w:val="multilevel"/>
    <w:tmpl w:val="8E18A30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0A720D"/>
    <w:multiLevelType w:val="multilevel"/>
    <w:tmpl w:val="598A9A92"/>
    <w:lvl w:ilvl="0">
      <w:start w:val="1"/>
      <w:numFmt w:val="decimal"/>
      <w:lvlText w:val="%1."/>
      <w:lvlJc w:val="left"/>
      <w:pPr>
        <w:ind w:left="107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52FD70A1"/>
    <w:multiLevelType w:val="multilevel"/>
    <w:tmpl w:val="4EF45B14"/>
    <w:lvl w:ilvl="0">
      <w:start w:val="1"/>
      <w:numFmt w:val="upp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8"/>
    <w:rsid w:val="003672AA"/>
    <w:rsid w:val="00551454"/>
    <w:rsid w:val="005B6508"/>
    <w:rsid w:val="00AA030E"/>
    <w:rsid w:val="00B34BE3"/>
    <w:rsid w:val="00D61047"/>
    <w:rsid w:val="00E7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C60E2-DFC4-41D8-87EA-61AD3BF9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rastasis">
    <w:name w:val="Įprastasis"/>
    <w:pPr>
      <w:suppressAutoHyphens/>
      <w:spacing w:line="1" w:lineRule="atLeast"/>
      <w:ind w:leftChars="-1" w:left="-1" w:hangingChars="1" w:hanging="1"/>
      <w:textDirection w:val="btLr"/>
      <w:textAlignment w:val="top"/>
      <w:outlineLvl w:val="0"/>
    </w:pPr>
    <w:rPr>
      <w:rFonts w:ascii="Arial" w:hAnsi="Arial" w:cs="Arial"/>
      <w:position w:val="-1"/>
      <w:lang w:eastAsia="lt-LT"/>
    </w:rPr>
  </w:style>
  <w:style w:type="paragraph" w:customStyle="1" w:styleId="Antrat1">
    <w:name w:val="Antraštė 1"/>
    <w:basedOn w:val="prastasis"/>
    <w:next w:val="prastasis"/>
    <w:pPr>
      <w:keepNext/>
      <w:ind w:firstLine="0"/>
      <w:jc w:val="both"/>
    </w:pPr>
    <w:rPr>
      <w:rFonts w:ascii="Times New Roman" w:hAnsi="Times New Roman" w:cs="Times New Roman"/>
      <w:b/>
      <w:bCs/>
      <w:sz w:val="24"/>
      <w:szCs w:val="24"/>
      <w:lang w:val="en-US"/>
    </w:rPr>
  </w:style>
  <w:style w:type="character" w:customStyle="1" w:styleId="Numatytasispastraiposriftas">
    <w:name w:val="Numatytasis pastraipos šriftas"/>
    <w:rPr>
      <w:w w:val="100"/>
      <w:position w:val="-1"/>
      <w:effect w:val="none"/>
      <w:vertAlign w:val="baseline"/>
      <w:cs w:val="0"/>
      <w:em w:val="none"/>
    </w:rPr>
  </w:style>
  <w:style w:type="table" w:customStyle="1" w:styleId="prastojilentel">
    <w:name w:val="Įprastoji lentelė"/>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
    <w:name w:val="Sąrašo nėra"/>
  </w:style>
  <w:style w:type="paragraph" w:customStyle="1" w:styleId="Debesliotekstas">
    <w:name w:val="Debesėlio tekstas"/>
    <w:basedOn w:val="prastasis"/>
    <w:rPr>
      <w:rFonts w:ascii="Tahoma" w:hAnsi="Tahoma" w:cs="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rPr>
  </w:style>
  <w:style w:type="character" w:customStyle="1" w:styleId="Vietosrezervavimoenklotekstas">
    <w:name w:val="Vietos rezervavimo ženklo tekstas"/>
    <w:rPr>
      <w:color w:val="808080"/>
      <w:w w:val="100"/>
      <w:position w:val="-1"/>
      <w:effect w:val="none"/>
      <w:vertAlign w:val="baseline"/>
      <w:cs w:val="0"/>
      <w:em w:val="none"/>
    </w:rPr>
  </w:style>
  <w:style w:type="paragraph" w:customStyle="1" w:styleId="Antrats">
    <w:name w:val="Antraštės"/>
    <w:basedOn w:val="prastasis"/>
  </w:style>
  <w:style w:type="paragraph" w:customStyle="1" w:styleId="Porat">
    <w:name w:val="Poraštė"/>
    <w:basedOn w:val="prastasis"/>
  </w:style>
  <w:style w:type="character" w:customStyle="1" w:styleId="Puslapionumeris">
    <w:name w:val="Puslapio numeris"/>
    <w:basedOn w:val="Numatytasispastraiposriftas"/>
    <w:rPr>
      <w:w w:val="100"/>
      <w:position w:val="-1"/>
      <w:effect w:val="none"/>
      <w:vertAlign w:val="baseline"/>
      <w:cs w:val="0"/>
      <w:em w:val="none"/>
    </w:rPr>
  </w:style>
  <w:style w:type="character" w:customStyle="1" w:styleId="Komentaronuoroda">
    <w:name w:val="Komentaro nuoroda"/>
    <w:rPr>
      <w:w w:val="100"/>
      <w:position w:val="-1"/>
      <w:sz w:val="16"/>
      <w:szCs w:val="16"/>
      <w:effect w:val="none"/>
      <w:vertAlign w:val="baseline"/>
      <w:cs w:val="0"/>
      <w:em w:val="none"/>
    </w:rPr>
  </w:style>
  <w:style w:type="paragraph" w:customStyle="1" w:styleId="Komentarotekstas">
    <w:name w:val="Komentaro tekstas"/>
    <w:basedOn w:val="prastasis"/>
  </w:style>
  <w:style w:type="character" w:customStyle="1" w:styleId="KomentarotekstasDiagrama">
    <w:name w:val="Komentaro tekstas Diagrama"/>
    <w:rPr>
      <w:rFonts w:ascii="Arial" w:hAnsi="Arial" w:cs="Arial"/>
      <w:w w:val="100"/>
      <w:position w:val="-1"/>
      <w:effect w:val="none"/>
      <w:vertAlign w:val="baseline"/>
      <w:cs w:val="0"/>
      <w:em w:val="none"/>
    </w:rPr>
  </w:style>
  <w:style w:type="paragraph" w:customStyle="1" w:styleId="Komentarotema">
    <w:name w:val="Komentaro tema"/>
    <w:basedOn w:val="Komentarotekstas"/>
    <w:next w:val="Komentarotekstas"/>
    <w:rPr>
      <w:b/>
      <w:bCs/>
    </w:rPr>
  </w:style>
  <w:style w:type="character" w:customStyle="1" w:styleId="KomentarotemaDiagrama">
    <w:name w:val="Komentaro tema Diagrama"/>
    <w:rPr>
      <w:rFonts w:ascii="Arial" w:hAnsi="Arial" w:cs="Arial"/>
      <w:b/>
      <w:bCs/>
      <w:w w:val="100"/>
      <w:position w:val="-1"/>
      <w:effect w:val="none"/>
      <w:vertAlign w:val="baseline"/>
      <w:cs w:val="0"/>
      <w:em w:val="none"/>
    </w:rPr>
  </w:style>
  <w:style w:type="table" w:customStyle="1" w:styleId="Lentelstinklelis">
    <w:name w:val="Lentelės tinklelis"/>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saitas">
    <w:name w:val="Hipersaitas"/>
    <w:qFormat/>
    <w:rPr>
      <w:color w:val="0000FF"/>
      <w:w w:val="100"/>
      <w:position w:val="-1"/>
      <w:u w:val="single"/>
      <w:effect w:val="none"/>
      <w:vertAlign w:val="baseline"/>
      <w:cs w:val="0"/>
      <w:em w:val="none"/>
    </w:rPr>
  </w:style>
  <w:style w:type="paragraph" w:customStyle="1" w:styleId="tin">
    <w:name w:val="tin"/>
    <w:basedOn w:val="prastasis"/>
    <w:pPr>
      <w:spacing w:before="100" w:beforeAutospacing="1" w:after="100" w:afterAutospacing="1"/>
      <w:ind w:firstLine="0"/>
    </w:pPr>
    <w:rPr>
      <w:rFonts w:ascii="Times New Roman" w:hAnsi="Times New Roman" w:cs="Times New Roman"/>
      <w:sz w:val="24"/>
      <w:szCs w:val="24"/>
    </w:rPr>
  </w:style>
  <w:style w:type="character" w:customStyle="1" w:styleId="markedcontent">
    <w:name w:val="markedcontent"/>
    <w:basedOn w:val="Numatytasispastraiposriftas"/>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Grietas">
    <w:name w:val="Griežtas"/>
    <w:rPr>
      <w:b/>
      <w:bCs/>
      <w:w w:val="100"/>
      <w:position w:val="-1"/>
      <w:effect w:val="none"/>
      <w:vertAlign w:val="baseline"/>
      <w:cs w:val="0"/>
      <w:em w:val="none"/>
    </w:rPr>
  </w:style>
  <w:style w:type="character" w:customStyle="1" w:styleId="Antrat1Diagrama">
    <w:name w:val="Antraštė 1 Diagrama"/>
    <w:rPr>
      <w:b/>
      <w:bCs/>
      <w:w w:val="100"/>
      <w:position w:val="-1"/>
      <w:sz w:val="24"/>
      <w:szCs w:val="24"/>
      <w:effect w:val="none"/>
      <w:vertAlign w:val="baseline"/>
      <w:cs w:val="0"/>
      <w:em w:val="none"/>
    </w:rPr>
  </w:style>
  <w:style w:type="paragraph" w:customStyle="1" w:styleId="Bodytext2">
    <w:name w:val="Body text (2)"/>
    <w:basedOn w:val="prastasis"/>
    <w:pPr>
      <w:widowControl w:val="0"/>
      <w:shd w:val="clear" w:color="auto" w:fill="FFFFFF"/>
      <w:suppressAutoHyphens w:val="0"/>
      <w:autoSpaceDN w:val="0"/>
      <w:spacing w:before="300" w:line="266" w:lineRule="atLeast"/>
      <w:ind w:firstLine="0"/>
      <w:jc w:val="both"/>
    </w:pPr>
    <w:rPr>
      <w:rFonts w:ascii="Times New Roman" w:eastAsia="Calibri" w:hAnsi="Times New Roman" w:cs="Times New Roman"/>
      <w:sz w:val="22"/>
      <w:szCs w:val="22"/>
      <w:lang w:eastAsia="en-US"/>
    </w:rPr>
  </w:style>
  <w:style w:type="character" w:customStyle="1" w:styleId="Emfaz">
    <w:name w:val="Emfazė"/>
    <w:rPr>
      <w:i/>
      <w:iCs/>
      <w:w w:val="100"/>
      <w:position w:val="-1"/>
      <w:effect w:val="none"/>
      <w:vertAlign w:val="baseline"/>
      <w:cs w:val="0"/>
      <w:em w:val="none"/>
    </w:rPr>
  </w:style>
  <w:style w:type="paragraph" w:customStyle="1" w:styleId="Sraopastraipa">
    <w:name w:val="Sąrašo pastraipa"/>
    <w:basedOn w:val="prastasis"/>
    <w:pPr>
      <w:suppressAutoHyphens w:val="0"/>
      <w:autoSpaceDN w:val="0"/>
      <w:spacing w:after="160"/>
      <w:ind w:left="720" w:firstLine="0"/>
      <w:jc w:val="both"/>
    </w:pPr>
    <w:rPr>
      <w:rFonts w:ascii="Calibri" w:hAnsi="Calibri" w:cs="Calibri"/>
      <w:sz w:val="22"/>
      <w:szCs w:val="22"/>
      <w:lang w:eastAsia="en-US"/>
    </w:rPr>
  </w:style>
  <w:style w:type="character" w:customStyle="1" w:styleId="normal-h">
    <w:name w:val="normal-h"/>
    <w:basedOn w:val="Numatytasispastraiposriftas"/>
    <w:rPr>
      <w:w w:val="100"/>
      <w:position w:val="-1"/>
      <w:effect w:val="none"/>
      <w:vertAlign w:val="baseline"/>
      <w:cs w:val="0"/>
      <w:em w:val="none"/>
    </w:rPr>
  </w:style>
  <w:style w:type="character" w:customStyle="1" w:styleId="eop">
    <w:name w:val="eop"/>
    <w:basedOn w:val="Numatytasispastraiposriftas"/>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551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yoXqofHrbMzw+ZgnnGVfU6pqw==">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gAciExZDhiTU5za1hCc09hb2FoNFRubldWcDVReVdvR3REb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Infolex</dc:creator>
  <cp:lastModifiedBy>Microsoft account</cp:lastModifiedBy>
  <cp:revision>3</cp:revision>
  <cp:lastPrinted>2024-04-08T12:46:00Z</cp:lastPrinted>
  <dcterms:created xsi:type="dcterms:W3CDTF">2024-04-08T12:22:00Z</dcterms:created>
  <dcterms:modified xsi:type="dcterms:W3CDTF">2024-04-08T12:46:00Z</dcterms:modified>
</cp:coreProperties>
</file>